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73EB" w14:textId="77777777" w:rsidR="00B2015C" w:rsidRDefault="00B2015C" w:rsidP="00B2015C">
      <w:pPr>
        <w:jc w:val="center"/>
        <w:rPr>
          <w:rFonts w:ascii="Arial" w:hAnsi="Arial" w:cs="Arial"/>
          <w:b/>
          <w:bCs/>
        </w:rPr>
      </w:pPr>
      <w:r>
        <w:rPr>
          <w:rFonts w:ascii="Arial" w:hAnsi="Arial" w:cs="Arial"/>
          <w:b/>
          <w:bCs/>
        </w:rPr>
        <w:t>ADDITIONAL INFORMATION PUBLISHED BY THE REGISTRAR AND PRINCIPAL REGISTRAR UNDER THE UNIFORM CIVIL RULES 2020</w:t>
      </w:r>
    </w:p>
    <w:p w14:paraId="36F1D630" w14:textId="77777777" w:rsidR="00B2015C" w:rsidRDefault="00B2015C" w:rsidP="00B2015C">
      <w:pPr>
        <w:spacing w:after="0"/>
        <w:jc w:val="both"/>
        <w:rPr>
          <w:rFonts w:ascii="Arial" w:hAnsi="Arial" w:cs="Arial"/>
        </w:rPr>
      </w:pPr>
    </w:p>
    <w:p w14:paraId="76B2C4C7" w14:textId="77777777" w:rsidR="00B2015C" w:rsidRDefault="00B2015C" w:rsidP="00B2015C">
      <w:pPr>
        <w:spacing w:after="0"/>
        <w:jc w:val="both"/>
        <w:rPr>
          <w:rFonts w:ascii="Arial" w:hAnsi="Arial" w:cs="Arial"/>
        </w:rPr>
      </w:pPr>
      <w:r>
        <w:rPr>
          <w:rFonts w:ascii="Arial" w:hAnsi="Arial" w:cs="Arial"/>
        </w:rPr>
        <w:t>In accordance with the Uniform Civil Rules 2020, the Registrar of the Supreme Court, the Registrar of the District Court, and the Principal Registrar of the Magistrates Court publish the following:</w:t>
      </w:r>
    </w:p>
    <w:p w14:paraId="43340239" w14:textId="77777777" w:rsidR="00B2015C" w:rsidRDefault="00B2015C" w:rsidP="00B2015C">
      <w:pPr>
        <w:spacing w:after="0"/>
        <w:jc w:val="both"/>
        <w:rPr>
          <w:rFonts w:ascii="Arial" w:hAnsi="Arial" w:cs="Arial"/>
        </w:rPr>
      </w:pPr>
    </w:p>
    <w:p w14:paraId="3D462F55" w14:textId="77777777" w:rsidR="00B2015C" w:rsidRDefault="00B2015C" w:rsidP="00B2015C">
      <w:pPr>
        <w:pStyle w:val="ListParagraph"/>
        <w:numPr>
          <w:ilvl w:val="0"/>
          <w:numId w:val="1"/>
        </w:numPr>
        <w:ind w:left="284" w:hanging="284"/>
        <w:jc w:val="both"/>
        <w:rPr>
          <w:rFonts w:ascii="Arial" w:hAnsi="Arial" w:cs="Arial"/>
          <w:b/>
          <w:bCs/>
          <w:sz w:val="22"/>
          <w:szCs w:val="22"/>
        </w:rPr>
      </w:pPr>
      <w:r>
        <w:rPr>
          <w:rFonts w:ascii="Arial" w:hAnsi="Arial" w:cs="Arial"/>
          <w:b/>
          <w:bCs/>
          <w:sz w:val="22"/>
          <w:szCs w:val="22"/>
        </w:rPr>
        <w:t>Registry opening hours – Rule 13.9(1)</w:t>
      </w:r>
    </w:p>
    <w:p w14:paraId="48929590" w14:textId="77777777" w:rsidR="00B2015C" w:rsidRDefault="00B2015C" w:rsidP="00B2015C">
      <w:pPr>
        <w:spacing w:after="0"/>
        <w:jc w:val="both"/>
        <w:rPr>
          <w:rFonts w:ascii="Arial" w:hAnsi="Arial" w:cs="Arial"/>
        </w:rPr>
      </w:pPr>
    </w:p>
    <w:p w14:paraId="3A808C4E" w14:textId="77777777" w:rsidR="00B2015C" w:rsidRDefault="00B2015C" w:rsidP="00B2015C">
      <w:pPr>
        <w:spacing w:after="0"/>
        <w:jc w:val="both"/>
        <w:rPr>
          <w:rFonts w:ascii="Arial" w:hAnsi="Arial" w:cs="Arial"/>
          <w:i/>
          <w:iCs/>
        </w:rPr>
      </w:pPr>
      <w:r>
        <w:rPr>
          <w:rFonts w:ascii="Arial" w:hAnsi="Arial" w:cs="Arial"/>
          <w:i/>
          <w:iCs/>
        </w:rPr>
        <w:t>Supreme and District Courts civil registry</w:t>
      </w:r>
    </w:p>
    <w:p w14:paraId="709361C0" w14:textId="77777777" w:rsidR="00B2015C" w:rsidRDefault="00B2015C" w:rsidP="00B2015C">
      <w:pPr>
        <w:spacing w:after="0"/>
        <w:jc w:val="both"/>
        <w:rPr>
          <w:rFonts w:ascii="Arial" w:hAnsi="Arial" w:cs="Arial"/>
          <w:i/>
          <w:iCs/>
        </w:rPr>
      </w:pPr>
    </w:p>
    <w:p w14:paraId="611A05A6" w14:textId="77777777" w:rsidR="00B2015C" w:rsidRDefault="00B2015C" w:rsidP="00B2015C">
      <w:pPr>
        <w:pStyle w:val="Hangindent"/>
        <w:numPr>
          <w:ilvl w:val="0"/>
          <w:numId w:val="2"/>
        </w:numPr>
        <w:ind w:left="567" w:hanging="567"/>
        <w:jc w:val="both"/>
        <w:rPr>
          <w:rFonts w:ascii="Arial" w:hAnsi="Arial" w:cs="Arial"/>
          <w:sz w:val="22"/>
          <w:szCs w:val="22"/>
        </w:rPr>
      </w:pPr>
      <w:r>
        <w:rPr>
          <w:rFonts w:ascii="Arial" w:hAnsi="Arial" w:cs="Arial"/>
          <w:sz w:val="22"/>
          <w:szCs w:val="22"/>
        </w:rPr>
        <w:t>The Registry is open for business from 9.30 am to 4.30 pm each day except on Saturdays, Sundays, Public Holidays and the Christmas vacation, which comprises the calendar days between Christmas Day and New Year’s Day.</w:t>
      </w:r>
    </w:p>
    <w:p w14:paraId="3E5797BB" w14:textId="21A37B3D" w:rsidR="00B2015C" w:rsidRDefault="00B2015C" w:rsidP="00B2015C">
      <w:pPr>
        <w:pStyle w:val="Hangindent"/>
        <w:numPr>
          <w:ilvl w:val="0"/>
          <w:numId w:val="2"/>
        </w:numPr>
        <w:ind w:left="567" w:hanging="567"/>
        <w:jc w:val="both"/>
        <w:rPr>
          <w:rFonts w:ascii="Arial" w:hAnsi="Arial" w:cs="Arial"/>
          <w:sz w:val="22"/>
          <w:szCs w:val="22"/>
        </w:rPr>
      </w:pPr>
      <w:r>
        <w:rPr>
          <w:rFonts w:ascii="Arial" w:hAnsi="Arial" w:cs="Arial"/>
          <w:sz w:val="22"/>
          <w:szCs w:val="22"/>
        </w:rPr>
        <w:t>If it is sought to file or lodge a document or arrange for an urgent hearing when the Registry is not open for business, the party is to phone the after-hours business number of the Registry (</w:t>
      </w:r>
      <w:r w:rsidR="00B700C5">
        <w:rPr>
          <w:rFonts w:ascii="Arial" w:hAnsi="Arial" w:cs="Arial"/>
          <w:sz w:val="22"/>
          <w:szCs w:val="22"/>
        </w:rPr>
        <w:t>0477 329 748</w:t>
      </w:r>
      <w:r>
        <w:rPr>
          <w:rFonts w:ascii="Arial" w:hAnsi="Arial" w:cs="Arial"/>
          <w:sz w:val="22"/>
          <w:szCs w:val="22"/>
        </w:rPr>
        <w:t>).  The number will provide the current contact details of the rostered-on call officer.  If that officer is satisfied about the urgency of the request, he or she will arrange for the opening of the Registry and/or for a special hearing.</w:t>
      </w:r>
    </w:p>
    <w:p w14:paraId="4164C663" w14:textId="77777777" w:rsidR="00B2015C" w:rsidRDefault="00B2015C" w:rsidP="00B2015C">
      <w:pPr>
        <w:pStyle w:val="Hangindent"/>
        <w:numPr>
          <w:ilvl w:val="0"/>
          <w:numId w:val="2"/>
        </w:numPr>
        <w:ind w:left="567" w:hanging="567"/>
        <w:jc w:val="both"/>
        <w:rPr>
          <w:rFonts w:ascii="Arial" w:hAnsi="Arial" w:cs="Arial"/>
          <w:sz w:val="22"/>
          <w:szCs w:val="22"/>
        </w:rPr>
      </w:pPr>
      <w:r>
        <w:rPr>
          <w:rFonts w:ascii="Arial" w:hAnsi="Arial" w:cs="Arial"/>
          <w:sz w:val="22"/>
          <w:szCs w:val="22"/>
        </w:rPr>
        <w:t>Other than with the prior permission of the Judge, no lawyer or party is to contact a Judge to seek an urgent hearing.</w:t>
      </w:r>
    </w:p>
    <w:p w14:paraId="521B9B8E" w14:textId="77777777" w:rsidR="00B2015C" w:rsidRDefault="00B2015C" w:rsidP="00B2015C">
      <w:pPr>
        <w:pStyle w:val="Hangindent"/>
        <w:numPr>
          <w:ilvl w:val="0"/>
          <w:numId w:val="2"/>
        </w:numPr>
        <w:ind w:left="567" w:hanging="567"/>
        <w:jc w:val="both"/>
        <w:rPr>
          <w:rFonts w:ascii="Arial" w:hAnsi="Arial" w:cs="Arial"/>
          <w:sz w:val="22"/>
          <w:szCs w:val="22"/>
        </w:rPr>
      </w:pPr>
      <w:r>
        <w:rPr>
          <w:rFonts w:ascii="Arial" w:hAnsi="Arial" w:cs="Arial"/>
          <w:sz w:val="22"/>
          <w:szCs w:val="22"/>
        </w:rPr>
        <w:t xml:space="preserve">Unless the Rules or these Supplementary Rules otherwise provide or the Court otherwise directs, a party to an action may inspect or obtain copies of documents held on the Court file for that action by an informal request to the Registry.  </w:t>
      </w:r>
    </w:p>
    <w:p w14:paraId="082B7D64" w14:textId="77777777" w:rsidR="00B2015C" w:rsidRDefault="00B2015C" w:rsidP="00B2015C">
      <w:pPr>
        <w:pStyle w:val="Hangindent"/>
        <w:numPr>
          <w:ilvl w:val="0"/>
          <w:numId w:val="2"/>
        </w:numPr>
        <w:ind w:left="567" w:hanging="567"/>
        <w:jc w:val="both"/>
        <w:rPr>
          <w:rFonts w:ascii="Arial" w:hAnsi="Arial" w:cs="Arial"/>
          <w:sz w:val="22"/>
          <w:szCs w:val="22"/>
        </w:rPr>
      </w:pPr>
      <w:r>
        <w:rPr>
          <w:rFonts w:ascii="Arial" w:hAnsi="Arial" w:cs="Arial"/>
          <w:sz w:val="22"/>
          <w:szCs w:val="22"/>
        </w:rPr>
        <w:t>When the permission of the Court is required by a member of the public to inspect or obtain a copy of a court record, permission may be sought by letter or email to the Registrar without notice to any party or person interested.</w:t>
      </w:r>
    </w:p>
    <w:p w14:paraId="077620E6" w14:textId="77777777" w:rsidR="00B2015C" w:rsidRDefault="00B2015C" w:rsidP="00B2015C">
      <w:pPr>
        <w:pStyle w:val="Hangindent"/>
        <w:numPr>
          <w:ilvl w:val="0"/>
          <w:numId w:val="2"/>
        </w:numPr>
        <w:ind w:left="567" w:hanging="567"/>
        <w:jc w:val="both"/>
        <w:rPr>
          <w:rFonts w:ascii="Arial" w:hAnsi="Arial" w:cs="Arial"/>
          <w:sz w:val="22"/>
          <w:szCs w:val="22"/>
        </w:rPr>
      </w:pPr>
      <w:r>
        <w:rPr>
          <w:rFonts w:ascii="Arial" w:hAnsi="Arial" w:cs="Arial"/>
          <w:sz w:val="22"/>
          <w:szCs w:val="22"/>
        </w:rPr>
        <w:t>The Registrar may, from time to time, amend the opening hours of the Registry.</w:t>
      </w:r>
    </w:p>
    <w:p w14:paraId="59D8DA8A" w14:textId="77777777" w:rsidR="00B2015C" w:rsidRDefault="00B2015C" w:rsidP="00B2015C">
      <w:pPr>
        <w:spacing w:after="0"/>
        <w:jc w:val="both"/>
        <w:rPr>
          <w:rFonts w:ascii="Arial" w:hAnsi="Arial" w:cs="Arial"/>
          <w:i/>
          <w:iCs/>
        </w:rPr>
      </w:pPr>
    </w:p>
    <w:p w14:paraId="6F44C8CE" w14:textId="77777777" w:rsidR="00B2015C" w:rsidRDefault="00B2015C" w:rsidP="00B2015C">
      <w:pPr>
        <w:spacing w:after="0"/>
        <w:jc w:val="both"/>
        <w:rPr>
          <w:rFonts w:ascii="Arial" w:hAnsi="Arial" w:cs="Arial"/>
          <w:i/>
          <w:iCs/>
        </w:rPr>
      </w:pPr>
      <w:r>
        <w:rPr>
          <w:rFonts w:ascii="Arial" w:hAnsi="Arial" w:cs="Arial"/>
          <w:i/>
          <w:iCs/>
        </w:rPr>
        <w:t>Magistrates Court</w:t>
      </w:r>
    </w:p>
    <w:p w14:paraId="3CD87D86" w14:textId="77777777" w:rsidR="00B2015C" w:rsidRDefault="00B2015C" w:rsidP="00B2015C">
      <w:pPr>
        <w:spacing w:after="0"/>
        <w:jc w:val="both"/>
        <w:rPr>
          <w:rFonts w:ascii="Arial" w:hAnsi="Arial" w:cs="Arial"/>
        </w:rPr>
      </w:pPr>
    </w:p>
    <w:p w14:paraId="58544CBA" w14:textId="77777777" w:rsidR="00B2015C" w:rsidRDefault="00B2015C" w:rsidP="00B2015C">
      <w:pPr>
        <w:pStyle w:val="Hangindent"/>
        <w:numPr>
          <w:ilvl w:val="0"/>
          <w:numId w:val="3"/>
        </w:numPr>
        <w:ind w:left="567" w:hanging="567"/>
        <w:jc w:val="both"/>
        <w:rPr>
          <w:rFonts w:ascii="Arial" w:hAnsi="Arial" w:cs="Arial"/>
          <w:sz w:val="22"/>
          <w:szCs w:val="22"/>
        </w:rPr>
      </w:pPr>
      <w:r>
        <w:rPr>
          <w:rFonts w:ascii="Arial" w:hAnsi="Arial" w:cs="Arial"/>
          <w:sz w:val="22"/>
          <w:szCs w:val="22"/>
        </w:rPr>
        <w:t>In accordance with Practice Direction 2 of 2017, a Registry of the Court must be open between the hours of 9 am and 5 pm on any business day, not being a public holiday, except where exceptional circumstances exist and the approval of the Principal Registrar, Magistrates Court, has been given.</w:t>
      </w:r>
    </w:p>
    <w:p w14:paraId="35106D9D" w14:textId="77777777" w:rsidR="00B2015C" w:rsidRDefault="00B2015C" w:rsidP="00B2015C">
      <w:pPr>
        <w:pStyle w:val="Hangindent"/>
        <w:numPr>
          <w:ilvl w:val="0"/>
          <w:numId w:val="3"/>
        </w:numPr>
        <w:spacing w:after="0"/>
        <w:ind w:left="567" w:hanging="567"/>
        <w:jc w:val="both"/>
        <w:rPr>
          <w:rFonts w:ascii="Arial" w:hAnsi="Arial" w:cs="Arial"/>
          <w:sz w:val="22"/>
          <w:szCs w:val="22"/>
        </w:rPr>
      </w:pPr>
      <w:r>
        <w:rPr>
          <w:rFonts w:ascii="Arial" w:hAnsi="Arial" w:cs="Arial"/>
          <w:sz w:val="22"/>
          <w:szCs w:val="22"/>
        </w:rPr>
        <w:t>The Principal Registrar may, from time to time, amend the opening hours of Magistrates Court Registries.</w:t>
      </w:r>
    </w:p>
    <w:p w14:paraId="5249E50B" w14:textId="77777777" w:rsidR="00B2015C" w:rsidRDefault="00B2015C" w:rsidP="00B2015C">
      <w:pPr>
        <w:spacing w:after="0"/>
        <w:jc w:val="both"/>
        <w:rPr>
          <w:rFonts w:ascii="Arial" w:hAnsi="Arial" w:cs="Arial"/>
        </w:rPr>
      </w:pPr>
    </w:p>
    <w:p w14:paraId="77E4BBFF" w14:textId="77777777" w:rsidR="00B2015C" w:rsidRDefault="00B2015C" w:rsidP="00B2015C">
      <w:pPr>
        <w:spacing w:after="0"/>
        <w:jc w:val="both"/>
        <w:rPr>
          <w:rFonts w:ascii="Arial" w:hAnsi="Arial" w:cs="Arial"/>
        </w:rPr>
      </w:pPr>
    </w:p>
    <w:p w14:paraId="1D0D2026" w14:textId="77777777" w:rsidR="00B2015C" w:rsidRDefault="00B2015C" w:rsidP="00B2015C">
      <w:pPr>
        <w:pStyle w:val="ListParagraph"/>
        <w:numPr>
          <w:ilvl w:val="0"/>
          <w:numId w:val="1"/>
        </w:numPr>
        <w:ind w:left="284" w:hanging="284"/>
        <w:jc w:val="both"/>
        <w:rPr>
          <w:rFonts w:ascii="Arial" w:hAnsi="Arial" w:cs="Arial"/>
          <w:b/>
          <w:bCs/>
          <w:sz w:val="22"/>
          <w:szCs w:val="22"/>
        </w:rPr>
      </w:pPr>
      <w:bookmarkStart w:id="0" w:name="_Hlk40368355"/>
      <w:r>
        <w:rPr>
          <w:rFonts w:ascii="Arial" w:hAnsi="Arial" w:cs="Arial"/>
          <w:b/>
          <w:bCs/>
          <w:sz w:val="22"/>
          <w:szCs w:val="22"/>
        </w:rPr>
        <w:t>Attire – Rule 15.7</w:t>
      </w:r>
    </w:p>
    <w:p w14:paraId="1B9704AF" w14:textId="77777777" w:rsidR="00B2015C" w:rsidRDefault="00B2015C" w:rsidP="00B2015C">
      <w:pPr>
        <w:spacing w:after="0"/>
        <w:jc w:val="both"/>
        <w:rPr>
          <w:rFonts w:ascii="Arial" w:hAnsi="Arial" w:cs="Arial"/>
          <w:i/>
          <w:iCs/>
        </w:rPr>
      </w:pPr>
      <w:bookmarkStart w:id="1" w:name="_Toc385334746"/>
      <w:bookmarkStart w:id="2" w:name="_Toc5281775"/>
    </w:p>
    <w:p w14:paraId="0B9B6DDE" w14:textId="77777777" w:rsidR="00B2015C" w:rsidRDefault="00B2015C" w:rsidP="00B2015C">
      <w:pPr>
        <w:spacing w:after="0" w:line="240" w:lineRule="auto"/>
        <w:jc w:val="both"/>
        <w:rPr>
          <w:rFonts w:ascii="Arial" w:hAnsi="Arial" w:cs="Arial"/>
          <w:i/>
          <w:iCs/>
        </w:rPr>
      </w:pPr>
      <w:r>
        <w:rPr>
          <w:rFonts w:ascii="Arial" w:hAnsi="Arial" w:cs="Arial"/>
          <w:i/>
          <w:iCs/>
        </w:rPr>
        <w:t>Barrister’s attire</w:t>
      </w:r>
      <w:bookmarkEnd w:id="1"/>
      <w:bookmarkEnd w:id="2"/>
      <w:r>
        <w:rPr>
          <w:rFonts w:ascii="Arial" w:hAnsi="Arial" w:cs="Arial"/>
          <w:i/>
          <w:iCs/>
        </w:rPr>
        <w:t xml:space="preserve"> – Supreme and District Courts</w:t>
      </w:r>
    </w:p>
    <w:p w14:paraId="64D28B47" w14:textId="77777777" w:rsidR="00B2015C" w:rsidRDefault="00B2015C" w:rsidP="00B2015C">
      <w:pPr>
        <w:pStyle w:val="Hangindent"/>
        <w:spacing w:after="0"/>
        <w:jc w:val="both"/>
      </w:pPr>
    </w:p>
    <w:p w14:paraId="7C361462" w14:textId="77777777" w:rsidR="00B2015C" w:rsidRDefault="00B2015C" w:rsidP="00B2015C">
      <w:pPr>
        <w:pStyle w:val="Hangindent"/>
        <w:numPr>
          <w:ilvl w:val="0"/>
          <w:numId w:val="4"/>
        </w:numPr>
        <w:ind w:left="567" w:hanging="567"/>
        <w:jc w:val="both"/>
        <w:rPr>
          <w:rFonts w:ascii="Arial" w:hAnsi="Arial" w:cs="Arial"/>
          <w:sz w:val="22"/>
          <w:szCs w:val="22"/>
        </w:rPr>
      </w:pPr>
      <w:r>
        <w:rPr>
          <w:rFonts w:ascii="Arial" w:hAnsi="Arial" w:cs="Arial"/>
          <w:sz w:val="22"/>
          <w:szCs w:val="22"/>
        </w:rPr>
        <w:t>The dress of a barrister appearing in court is to be black court coat or bar jacket, white jabot and gown (silk for Queen’s Counsel and Senior Counsel and stuff for junior counsel), dark trousers for men and dark skirt or trousers for women.  As an alternative to the jabot, white bands may be worn with white shirt and winged collar.</w:t>
      </w:r>
    </w:p>
    <w:p w14:paraId="41B8DB87" w14:textId="77777777" w:rsidR="00B2015C" w:rsidRDefault="00B2015C" w:rsidP="00B2015C">
      <w:pPr>
        <w:pStyle w:val="Hangindent"/>
        <w:numPr>
          <w:ilvl w:val="0"/>
          <w:numId w:val="4"/>
        </w:numPr>
        <w:ind w:left="567" w:hanging="567"/>
        <w:jc w:val="both"/>
        <w:rPr>
          <w:rFonts w:ascii="Arial" w:hAnsi="Arial" w:cs="Arial"/>
          <w:sz w:val="22"/>
          <w:szCs w:val="22"/>
        </w:rPr>
      </w:pPr>
      <w:r>
        <w:rPr>
          <w:rFonts w:ascii="Arial" w:hAnsi="Arial" w:cs="Arial"/>
          <w:sz w:val="22"/>
          <w:szCs w:val="22"/>
        </w:rPr>
        <w:t>Barrister’s attire is not required for directions hearings or for any other matter not heard in open court.</w:t>
      </w:r>
    </w:p>
    <w:p w14:paraId="6BCAA17B" w14:textId="77777777" w:rsidR="00B2015C" w:rsidRDefault="00B2015C" w:rsidP="00B2015C">
      <w:pPr>
        <w:pStyle w:val="Hangindent"/>
        <w:numPr>
          <w:ilvl w:val="0"/>
          <w:numId w:val="4"/>
        </w:numPr>
        <w:ind w:left="567" w:hanging="567"/>
        <w:jc w:val="both"/>
        <w:rPr>
          <w:rFonts w:ascii="Arial" w:hAnsi="Arial" w:cs="Arial"/>
          <w:sz w:val="22"/>
          <w:szCs w:val="22"/>
        </w:rPr>
      </w:pPr>
      <w:r>
        <w:rPr>
          <w:rFonts w:ascii="Arial" w:hAnsi="Arial" w:cs="Arial"/>
          <w:sz w:val="22"/>
          <w:szCs w:val="22"/>
        </w:rPr>
        <w:lastRenderedPageBreak/>
        <w:t>A barrister’s attire is at all times to be in a clean and neat condition.</w:t>
      </w:r>
    </w:p>
    <w:p w14:paraId="57A1EAE9" w14:textId="77777777" w:rsidR="00B2015C" w:rsidRDefault="00B2015C" w:rsidP="00B2015C">
      <w:pPr>
        <w:pStyle w:val="Hangindent"/>
        <w:numPr>
          <w:ilvl w:val="0"/>
          <w:numId w:val="4"/>
        </w:numPr>
        <w:spacing w:after="0"/>
        <w:ind w:left="567" w:hanging="567"/>
        <w:jc w:val="both"/>
        <w:rPr>
          <w:rFonts w:ascii="Arial" w:hAnsi="Arial" w:cs="Arial"/>
          <w:sz w:val="22"/>
          <w:szCs w:val="22"/>
        </w:rPr>
      </w:pPr>
      <w:r>
        <w:rPr>
          <w:rFonts w:ascii="Arial" w:hAnsi="Arial" w:cs="Arial"/>
          <w:sz w:val="22"/>
          <w:szCs w:val="22"/>
        </w:rPr>
        <w:t>Wigs will be worn in only when the Court is hearing criminal proceedings.  Wigs will not be worn in civil proceedings or on ceremonial occasions.</w:t>
      </w:r>
    </w:p>
    <w:p w14:paraId="79BDD6F7" w14:textId="77777777" w:rsidR="00B2015C" w:rsidRDefault="00B2015C" w:rsidP="00B2015C">
      <w:pPr>
        <w:pStyle w:val="Hangindent"/>
        <w:spacing w:after="0"/>
        <w:ind w:left="0" w:firstLine="0"/>
        <w:jc w:val="both"/>
        <w:rPr>
          <w:rFonts w:ascii="Arial" w:hAnsi="Arial" w:cs="Arial"/>
          <w:sz w:val="22"/>
          <w:szCs w:val="22"/>
        </w:rPr>
      </w:pPr>
    </w:p>
    <w:p w14:paraId="02ECB845" w14:textId="77777777" w:rsidR="00B2015C" w:rsidRDefault="00B2015C" w:rsidP="00B2015C">
      <w:pPr>
        <w:spacing w:after="0" w:line="240" w:lineRule="auto"/>
        <w:jc w:val="both"/>
        <w:rPr>
          <w:rFonts w:ascii="Arial" w:hAnsi="Arial" w:cs="Arial"/>
          <w:i/>
          <w:iCs/>
        </w:rPr>
      </w:pPr>
      <w:r>
        <w:rPr>
          <w:rFonts w:ascii="Arial" w:hAnsi="Arial" w:cs="Arial"/>
          <w:i/>
          <w:iCs/>
        </w:rPr>
        <w:t>Magistrates Court</w:t>
      </w:r>
    </w:p>
    <w:p w14:paraId="4E65F054" w14:textId="77777777" w:rsidR="00B2015C" w:rsidRDefault="00B2015C" w:rsidP="00B2015C">
      <w:pPr>
        <w:pStyle w:val="Hangindent"/>
        <w:spacing w:after="0"/>
        <w:jc w:val="both"/>
      </w:pPr>
    </w:p>
    <w:p w14:paraId="37C1A860" w14:textId="77777777" w:rsidR="00B2015C" w:rsidRDefault="00B2015C" w:rsidP="00B2015C">
      <w:pPr>
        <w:pStyle w:val="Hangindent"/>
        <w:numPr>
          <w:ilvl w:val="0"/>
          <w:numId w:val="5"/>
        </w:numPr>
        <w:ind w:left="567" w:hanging="567"/>
        <w:jc w:val="both"/>
        <w:rPr>
          <w:rFonts w:ascii="Arial" w:hAnsi="Arial" w:cs="Arial"/>
          <w:sz w:val="22"/>
          <w:szCs w:val="22"/>
        </w:rPr>
      </w:pPr>
      <w:r>
        <w:rPr>
          <w:rFonts w:ascii="Arial" w:hAnsi="Arial" w:cs="Arial"/>
          <w:sz w:val="22"/>
          <w:szCs w:val="22"/>
        </w:rPr>
        <w:t>Parties and all other visitors to a courtroom are not required to wear a suit but should be neat and smart.  It is inappropriate to wear singlets, thongs, hats or sunglasses in the courtroom.</w:t>
      </w:r>
    </w:p>
    <w:p w14:paraId="1B653DE6" w14:textId="77777777" w:rsidR="00B2015C" w:rsidRDefault="00B2015C" w:rsidP="00B2015C">
      <w:pPr>
        <w:pStyle w:val="Hangindent"/>
        <w:numPr>
          <w:ilvl w:val="0"/>
          <w:numId w:val="5"/>
        </w:numPr>
        <w:ind w:left="567" w:hanging="567"/>
        <w:jc w:val="both"/>
        <w:rPr>
          <w:rFonts w:ascii="Arial" w:hAnsi="Arial" w:cs="Arial"/>
          <w:sz w:val="22"/>
          <w:szCs w:val="22"/>
        </w:rPr>
      </w:pPr>
      <w:r>
        <w:rPr>
          <w:rFonts w:ascii="Arial" w:hAnsi="Arial" w:cs="Arial"/>
          <w:sz w:val="22"/>
          <w:szCs w:val="22"/>
        </w:rPr>
        <w:t>Legal Practitioners appearing in a court proceeding shall adopt a standard of dress which respects the importance of the exercise of judicial power to the parties and the community.  In particular:</w:t>
      </w:r>
    </w:p>
    <w:p w14:paraId="16045DED" w14:textId="77777777" w:rsidR="00B2015C" w:rsidRDefault="00B2015C" w:rsidP="00B2015C">
      <w:pPr>
        <w:pStyle w:val="Doublehangingindent"/>
        <w:numPr>
          <w:ilvl w:val="0"/>
          <w:numId w:val="6"/>
        </w:numPr>
        <w:spacing w:after="0"/>
        <w:jc w:val="both"/>
        <w:rPr>
          <w:rFonts w:ascii="Arial" w:hAnsi="Arial" w:cs="Arial"/>
          <w:sz w:val="22"/>
          <w:szCs w:val="22"/>
        </w:rPr>
      </w:pPr>
      <w:r>
        <w:rPr>
          <w:rFonts w:ascii="Arial" w:hAnsi="Arial" w:cs="Arial"/>
          <w:sz w:val="22"/>
          <w:szCs w:val="22"/>
        </w:rPr>
        <w:t>men shall wear formal trousers, shirt, jacket and tie;</w:t>
      </w:r>
    </w:p>
    <w:p w14:paraId="4093F782" w14:textId="77777777" w:rsidR="00B2015C" w:rsidRDefault="00B2015C" w:rsidP="00B2015C">
      <w:pPr>
        <w:pStyle w:val="Doublehangingindent"/>
        <w:numPr>
          <w:ilvl w:val="0"/>
          <w:numId w:val="6"/>
        </w:numPr>
        <w:spacing w:after="0"/>
        <w:jc w:val="both"/>
        <w:rPr>
          <w:rFonts w:ascii="Arial" w:hAnsi="Arial" w:cs="Arial"/>
          <w:sz w:val="22"/>
          <w:szCs w:val="22"/>
        </w:rPr>
      </w:pPr>
      <w:r>
        <w:rPr>
          <w:rFonts w:ascii="Arial" w:hAnsi="Arial" w:cs="Arial"/>
          <w:sz w:val="22"/>
          <w:szCs w:val="22"/>
        </w:rPr>
        <w:t>women shall wear a style of clothing which is generally worn by women in conducting governmental, professional and commercial work of substantial importance (</w:t>
      </w:r>
      <w:proofErr w:type="spellStart"/>
      <w:r>
        <w:rPr>
          <w:rFonts w:ascii="Arial" w:hAnsi="Arial" w:cs="Arial"/>
          <w:sz w:val="22"/>
          <w:szCs w:val="22"/>
        </w:rPr>
        <w:t>eg</w:t>
      </w:r>
      <w:proofErr w:type="spellEnd"/>
      <w:r>
        <w:rPr>
          <w:rFonts w:ascii="Arial" w:hAnsi="Arial" w:cs="Arial"/>
          <w:sz w:val="22"/>
          <w:szCs w:val="22"/>
        </w:rPr>
        <w:t xml:space="preserve"> corporate wear).</w:t>
      </w:r>
    </w:p>
    <w:bookmarkEnd w:id="0"/>
    <w:p w14:paraId="078B08BA" w14:textId="77777777" w:rsidR="00B2015C" w:rsidRDefault="00B2015C" w:rsidP="00B2015C">
      <w:pPr>
        <w:pStyle w:val="Hangindent"/>
        <w:spacing w:after="0"/>
        <w:ind w:left="0" w:firstLine="0"/>
        <w:jc w:val="both"/>
        <w:rPr>
          <w:rFonts w:ascii="Arial" w:hAnsi="Arial" w:cs="Arial"/>
          <w:sz w:val="22"/>
          <w:szCs w:val="22"/>
        </w:rPr>
      </w:pPr>
    </w:p>
    <w:p w14:paraId="7BDA7A85" w14:textId="77777777" w:rsidR="00B2015C" w:rsidRDefault="00B2015C" w:rsidP="00B2015C">
      <w:pPr>
        <w:pStyle w:val="Hangindent"/>
        <w:spacing w:after="0"/>
        <w:ind w:left="0" w:firstLine="0"/>
        <w:jc w:val="both"/>
        <w:rPr>
          <w:rFonts w:ascii="Arial" w:hAnsi="Arial" w:cs="Arial"/>
          <w:sz w:val="22"/>
          <w:szCs w:val="22"/>
        </w:rPr>
      </w:pPr>
    </w:p>
    <w:p w14:paraId="079B2DF1" w14:textId="77777777" w:rsidR="00B2015C" w:rsidRDefault="00B2015C" w:rsidP="00B2015C">
      <w:pPr>
        <w:pStyle w:val="ListParagraph"/>
        <w:numPr>
          <w:ilvl w:val="0"/>
          <w:numId w:val="1"/>
        </w:numPr>
        <w:ind w:left="284" w:hanging="284"/>
        <w:jc w:val="both"/>
        <w:rPr>
          <w:rFonts w:ascii="Arial" w:hAnsi="Arial" w:cs="Arial"/>
          <w:b/>
          <w:bCs/>
          <w:sz w:val="22"/>
          <w:szCs w:val="22"/>
        </w:rPr>
      </w:pPr>
      <w:r>
        <w:rPr>
          <w:rFonts w:ascii="Arial" w:hAnsi="Arial" w:cs="Arial"/>
          <w:b/>
          <w:bCs/>
          <w:sz w:val="22"/>
          <w:szCs w:val="22"/>
        </w:rPr>
        <w:t>Email and Telephone communications – Rule 16.1</w:t>
      </w:r>
    </w:p>
    <w:p w14:paraId="5C0ECE02" w14:textId="77777777" w:rsidR="00B700C5" w:rsidRDefault="00B700C5" w:rsidP="00B2015C">
      <w:pPr>
        <w:spacing w:after="0"/>
        <w:jc w:val="both"/>
        <w:rPr>
          <w:rFonts w:ascii="Arial" w:hAnsi="Arial" w:cs="Arial"/>
        </w:rPr>
      </w:pPr>
      <w:bookmarkStart w:id="3" w:name="_Toc385334798"/>
      <w:bookmarkStart w:id="4" w:name="_Toc5281847"/>
    </w:p>
    <w:p w14:paraId="4C1D6302" w14:textId="2FA23915" w:rsidR="00B700C5" w:rsidRPr="00B700C5" w:rsidRDefault="00B700C5" w:rsidP="00B2015C">
      <w:pPr>
        <w:spacing w:after="0"/>
        <w:jc w:val="both"/>
        <w:rPr>
          <w:rFonts w:ascii="Arial" w:hAnsi="Arial" w:cs="Arial"/>
          <w:i/>
          <w:iCs/>
        </w:rPr>
      </w:pPr>
      <w:r w:rsidRPr="00B700C5">
        <w:rPr>
          <w:rFonts w:ascii="Arial" w:hAnsi="Arial" w:cs="Arial"/>
          <w:i/>
          <w:iCs/>
        </w:rPr>
        <w:t>Telephone Communication</w:t>
      </w:r>
    </w:p>
    <w:p w14:paraId="673E2022" w14:textId="0C291702" w:rsidR="00B2015C" w:rsidRDefault="00B2015C" w:rsidP="00B2015C">
      <w:pPr>
        <w:spacing w:after="0"/>
        <w:jc w:val="both"/>
        <w:rPr>
          <w:rFonts w:ascii="Arial" w:hAnsi="Arial" w:cs="Arial"/>
          <w:b/>
          <w:bCs/>
        </w:rPr>
      </w:pPr>
      <w:r>
        <w:rPr>
          <w:rFonts w:ascii="Arial" w:hAnsi="Arial" w:cs="Arial"/>
        </w:rPr>
        <w:t>Communication with the Court via telephone is to be via 8204 2444.</w:t>
      </w:r>
    </w:p>
    <w:p w14:paraId="5563B149" w14:textId="77777777" w:rsidR="00B2015C" w:rsidRDefault="00B2015C" w:rsidP="00B2015C">
      <w:pPr>
        <w:pStyle w:val="Hangindent"/>
        <w:spacing w:after="0"/>
        <w:ind w:left="0" w:firstLine="0"/>
        <w:jc w:val="both"/>
        <w:rPr>
          <w:rFonts w:ascii="Arial" w:hAnsi="Arial" w:cs="Arial"/>
          <w:sz w:val="22"/>
          <w:szCs w:val="22"/>
        </w:rPr>
      </w:pPr>
    </w:p>
    <w:p w14:paraId="6C951DCD" w14:textId="77777777" w:rsidR="00B2015C" w:rsidRDefault="00B2015C" w:rsidP="00B2015C">
      <w:pPr>
        <w:spacing w:after="0"/>
        <w:jc w:val="both"/>
        <w:rPr>
          <w:rFonts w:ascii="Arial" w:hAnsi="Arial" w:cs="Arial"/>
          <w:i/>
          <w:iCs/>
        </w:rPr>
      </w:pPr>
      <w:r>
        <w:rPr>
          <w:rFonts w:ascii="Arial" w:hAnsi="Arial" w:cs="Arial"/>
          <w:i/>
          <w:iCs/>
        </w:rPr>
        <w:t>Form and content of emails and attachments</w:t>
      </w:r>
      <w:bookmarkEnd w:id="3"/>
      <w:bookmarkEnd w:id="4"/>
    </w:p>
    <w:p w14:paraId="2FA52AF9" w14:textId="77777777" w:rsidR="00B2015C" w:rsidRDefault="00B2015C" w:rsidP="00B2015C">
      <w:pPr>
        <w:pStyle w:val="Hangindent"/>
        <w:spacing w:after="0"/>
        <w:ind w:left="0" w:firstLine="0"/>
        <w:jc w:val="both"/>
        <w:rPr>
          <w:rFonts w:ascii="Arial" w:hAnsi="Arial" w:cs="Arial"/>
          <w:sz w:val="22"/>
          <w:szCs w:val="22"/>
        </w:rPr>
      </w:pPr>
    </w:p>
    <w:p w14:paraId="6E6E62B4" w14:textId="77777777" w:rsidR="00B2015C" w:rsidRDefault="00B2015C" w:rsidP="00B2015C">
      <w:pPr>
        <w:pStyle w:val="Hangindent"/>
        <w:numPr>
          <w:ilvl w:val="0"/>
          <w:numId w:val="7"/>
        </w:numPr>
        <w:ind w:left="567" w:hanging="567"/>
        <w:jc w:val="both"/>
        <w:rPr>
          <w:rFonts w:ascii="Arial" w:hAnsi="Arial" w:cs="Arial"/>
          <w:sz w:val="22"/>
          <w:szCs w:val="22"/>
        </w:rPr>
      </w:pPr>
      <w:r>
        <w:rPr>
          <w:rFonts w:ascii="Arial" w:hAnsi="Arial" w:cs="Arial"/>
          <w:sz w:val="22"/>
          <w:szCs w:val="22"/>
        </w:rPr>
        <w:t>Related emails sent on behalf of parties to the Court are to be—</w:t>
      </w:r>
    </w:p>
    <w:p w14:paraId="1BCD81D6" w14:textId="77777777" w:rsidR="00B2015C" w:rsidRDefault="00B2015C" w:rsidP="00B2015C">
      <w:pPr>
        <w:pStyle w:val="Doublehangingindent"/>
        <w:numPr>
          <w:ilvl w:val="0"/>
          <w:numId w:val="8"/>
        </w:numPr>
        <w:spacing w:after="0"/>
        <w:jc w:val="both"/>
        <w:rPr>
          <w:rFonts w:ascii="Arial" w:hAnsi="Arial" w:cs="Arial"/>
          <w:sz w:val="22"/>
          <w:szCs w:val="22"/>
        </w:rPr>
      </w:pPr>
      <w:r>
        <w:rPr>
          <w:rFonts w:ascii="Arial" w:hAnsi="Arial" w:cs="Arial"/>
          <w:sz w:val="22"/>
          <w:szCs w:val="22"/>
        </w:rPr>
        <w:t xml:space="preserve">relevant to the topic </w:t>
      </w:r>
      <w:proofErr w:type="spellStart"/>
      <w:r>
        <w:rPr>
          <w:rFonts w:ascii="Arial" w:hAnsi="Arial" w:cs="Arial"/>
          <w:sz w:val="22"/>
          <w:szCs w:val="22"/>
        </w:rPr>
        <w:t>or</w:t>
      </w:r>
      <w:proofErr w:type="spellEnd"/>
      <w:r>
        <w:rPr>
          <w:rFonts w:ascii="Arial" w:hAnsi="Arial" w:cs="Arial"/>
          <w:sz w:val="22"/>
          <w:szCs w:val="22"/>
        </w:rPr>
        <w:t xml:space="preserve"> discussion thread in relation to which they are sent;</w:t>
      </w:r>
    </w:p>
    <w:p w14:paraId="35FABEB1" w14:textId="77777777" w:rsidR="00B2015C" w:rsidRDefault="00B2015C" w:rsidP="00B2015C">
      <w:pPr>
        <w:pStyle w:val="Doublehangingindent"/>
        <w:numPr>
          <w:ilvl w:val="0"/>
          <w:numId w:val="8"/>
        </w:numPr>
        <w:spacing w:after="0"/>
        <w:jc w:val="both"/>
        <w:rPr>
          <w:rFonts w:ascii="Arial" w:hAnsi="Arial" w:cs="Arial"/>
          <w:sz w:val="22"/>
          <w:szCs w:val="22"/>
        </w:rPr>
      </w:pPr>
      <w:r>
        <w:rPr>
          <w:rFonts w:ascii="Arial" w:hAnsi="Arial" w:cs="Arial"/>
          <w:sz w:val="22"/>
          <w:szCs w:val="22"/>
        </w:rPr>
        <w:t>brief and to the point; and</w:t>
      </w:r>
    </w:p>
    <w:p w14:paraId="6F725EDF" w14:textId="77777777" w:rsidR="00B2015C" w:rsidRDefault="00B2015C" w:rsidP="00B2015C">
      <w:pPr>
        <w:pStyle w:val="Doublehangingindent"/>
        <w:numPr>
          <w:ilvl w:val="0"/>
          <w:numId w:val="8"/>
        </w:numPr>
        <w:ind w:left="970" w:hanging="403"/>
        <w:jc w:val="both"/>
        <w:rPr>
          <w:rFonts w:ascii="Arial" w:hAnsi="Arial" w:cs="Arial"/>
          <w:sz w:val="22"/>
          <w:szCs w:val="22"/>
        </w:rPr>
      </w:pPr>
      <w:r>
        <w:rPr>
          <w:rFonts w:ascii="Arial" w:hAnsi="Arial" w:cs="Arial"/>
          <w:sz w:val="22"/>
          <w:szCs w:val="22"/>
        </w:rPr>
        <w:t>timely.</w:t>
      </w:r>
    </w:p>
    <w:p w14:paraId="11AE714C" w14:textId="77777777" w:rsidR="00B2015C" w:rsidRDefault="00B2015C" w:rsidP="00B2015C">
      <w:pPr>
        <w:pStyle w:val="Hangindent"/>
        <w:numPr>
          <w:ilvl w:val="0"/>
          <w:numId w:val="7"/>
        </w:numPr>
        <w:ind w:left="567" w:hanging="567"/>
        <w:jc w:val="both"/>
        <w:rPr>
          <w:rFonts w:ascii="Arial" w:hAnsi="Arial" w:cs="Arial"/>
          <w:sz w:val="22"/>
          <w:szCs w:val="22"/>
        </w:rPr>
      </w:pPr>
      <w:r>
        <w:rPr>
          <w:rFonts w:ascii="Arial" w:hAnsi="Arial" w:cs="Arial"/>
          <w:sz w:val="22"/>
          <w:szCs w:val="22"/>
        </w:rPr>
        <w:t xml:space="preserve">All documents intended to be used and not already filed with the Court are to be attached to the transmitting email. Documents are to be sent and received using Simple Mail Transfer Protocol (SMTP). </w:t>
      </w:r>
    </w:p>
    <w:p w14:paraId="6C3D33D1" w14:textId="77777777" w:rsidR="00B2015C" w:rsidRDefault="00B2015C" w:rsidP="00B2015C">
      <w:pPr>
        <w:pStyle w:val="Hangindent"/>
        <w:numPr>
          <w:ilvl w:val="0"/>
          <w:numId w:val="7"/>
        </w:numPr>
        <w:spacing w:after="0"/>
        <w:ind w:left="567" w:hanging="567"/>
        <w:jc w:val="both"/>
        <w:rPr>
          <w:rFonts w:ascii="Arial" w:hAnsi="Arial" w:cs="Arial"/>
          <w:sz w:val="22"/>
          <w:szCs w:val="22"/>
        </w:rPr>
      </w:pPr>
      <w:r>
        <w:rPr>
          <w:rFonts w:ascii="Arial" w:hAnsi="Arial" w:cs="Arial"/>
          <w:sz w:val="22"/>
          <w:szCs w:val="22"/>
        </w:rPr>
        <w:t>Any document transmitted to the Court is to utilise size 10 Arial font (or equivalent) as a minimum, and be in searchable Portable Document Format (PDF).</w:t>
      </w:r>
    </w:p>
    <w:p w14:paraId="02F9D682" w14:textId="77777777" w:rsidR="00B2015C" w:rsidRDefault="00B2015C" w:rsidP="00B2015C">
      <w:pPr>
        <w:pStyle w:val="Hangindent"/>
        <w:spacing w:after="0"/>
        <w:ind w:left="0" w:firstLine="0"/>
        <w:jc w:val="both"/>
        <w:rPr>
          <w:rFonts w:ascii="Arial" w:hAnsi="Arial" w:cs="Arial"/>
          <w:sz w:val="22"/>
          <w:szCs w:val="22"/>
        </w:rPr>
      </w:pPr>
      <w:bookmarkStart w:id="5" w:name="_Toc55281234"/>
      <w:bookmarkStart w:id="6" w:name="_Toc142211678"/>
      <w:bookmarkStart w:id="7" w:name="_Toc385334799"/>
      <w:bookmarkStart w:id="8" w:name="_Toc5281848"/>
    </w:p>
    <w:p w14:paraId="45A6FD30" w14:textId="77777777" w:rsidR="00B2015C" w:rsidRDefault="00B2015C" w:rsidP="00B2015C">
      <w:pPr>
        <w:spacing w:after="0"/>
        <w:jc w:val="both"/>
        <w:rPr>
          <w:rFonts w:ascii="Arial" w:hAnsi="Arial" w:cs="Arial"/>
          <w:i/>
          <w:iCs/>
        </w:rPr>
      </w:pPr>
      <w:r>
        <w:rPr>
          <w:rFonts w:ascii="Arial" w:hAnsi="Arial" w:cs="Arial"/>
          <w:i/>
          <w:iCs/>
        </w:rPr>
        <w:t>Mode of use of email</w:t>
      </w:r>
      <w:bookmarkEnd w:id="5"/>
      <w:bookmarkEnd w:id="6"/>
      <w:bookmarkEnd w:id="7"/>
      <w:r>
        <w:rPr>
          <w:rFonts w:ascii="Arial" w:hAnsi="Arial" w:cs="Arial"/>
          <w:i/>
          <w:iCs/>
        </w:rPr>
        <w:t xml:space="preserve"> facility</w:t>
      </w:r>
      <w:bookmarkEnd w:id="8"/>
    </w:p>
    <w:p w14:paraId="324BEA9D" w14:textId="77777777" w:rsidR="00B2015C" w:rsidRDefault="00B2015C" w:rsidP="00B2015C">
      <w:pPr>
        <w:pStyle w:val="Hangindent"/>
        <w:spacing w:after="0"/>
        <w:ind w:left="0" w:firstLine="0"/>
        <w:jc w:val="both"/>
        <w:rPr>
          <w:rFonts w:ascii="Arial" w:hAnsi="Arial" w:cs="Arial"/>
          <w:sz w:val="22"/>
          <w:szCs w:val="22"/>
        </w:rPr>
      </w:pPr>
    </w:p>
    <w:p w14:paraId="25746127" w14:textId="77777777" w:rsidR="00B2015C" w:rsidRDefault="00B2015C" w:rsidP="00B2015C">
      <w:pPr>
        <w:pStyle w:val="Hangindent"/>
        <w:numPr>
          <w:ilvl w:val="0"/>
          <w:numId w:val="9"/>
        </w:numPr>
        <w:ind w:left="561" w:hanging="561"/>
        <w:jc w:val="both"/>
        <w:rPr>
          <w:rFonts w:ascii="Arial" w:hAnsi="Arial" w:cs="Arial"/>
          <w:sz w:val="22"/>
          <w:szCs w:val="22"/>
        </w:rPr>
      </w:pPr>
      <w:r>
        <w:rPr>
          <w:rFonts w:ascii="Arial" w:hAnsi="Arial" w:cs="Arial"/>
          <w:sz w:val="22"/>
          <w:szCs w:val="22"/>
        </w:rPr>
        <w:t>An email transmitted by a lawyer is to identify the name of the individual lawyer sending it and, when applicable, the separate email address of the lawyer.</w:t>
      </w:r>
    </w:p>
    <w:p w14:paraId="7CBFE005" w14:textId="77777777" w:rsidR="00B2015C" w:rsidRDefault="00B2015C" w:rsidP="00B2015C">
      <w:pPr>
        <w:pStyle w:val="Hangindent"/>
        <w:numPr>
          <w:ilvl w:val="0"/>
          <w:numId w:val="9"/>
        </w:numPr>
        <w:ind w:left="561" w:hanging="561"/>
        <w:jc w:val="both"/>
        <w:rPr>
          <w:rFonts w:ascii="Arial" w:hAnsi="Arial" w:cs="Arial"/>
          <w:sz w:val="22"/>
          <w:szCs w:val="22"/>
        </w:rPr>
      </w:pPr>
      <w:r>
        <w:rPr>
          <w:rFonts w:ascii="Arial" w:hAnsi="Arial" w:cs="Arial"/>
          <w:sz w:val="22"/>
          <w:szCs w:val="22"/>
        </w:rPr>
        <w:t>An email and attached documents purporting to be sent by a lawyer will be deemed to—</w:t>
      </w:r>
    </w:p>
    <w:p w14:paraId="68020B43" w14:textId="77777777" w:rsidR="00B2015C" w:rsidRDefault="00B2015C" w:rsidP="00B2015C">
      <w:pPr>
        <w:pStyle w:val="Doublehangingindent"/>
        <w:numPr>
          <w:ilvl w:val="0"/>
          <w:numId w:val="10"/>
        </w:numPr>
        <w:spacing w:after="0"/>
        <w:jc w:val="both"/>
        <w:rPr>
          <w:rFonts w:ascii="Arial" w:hAnsi="Arial" w:cs="Arial"/>
          <w:sz w:val="22"/>
          <w:szCs w:val="22"/>
        </w:rPr>
      </w:pPr>
      <w:r>
        <w:rPr>
          <w:rFonts w:ascii="Arial" w:hAnsi="Arial" w:cs="Arial"/>
          <w:sz w:val="22"/>
          <w:szCs w:val="22"/>
        </w:rPr>
        <w:t>have been sent by the lawyer;</w:t>
      </w:r>
    </w:p>
    <w:p w14:paraId="3176F576" w14:textId="77777777" w:rsidR="00B2015C" w:rsidRDefault="00B2015C" w:rsidP="00B2015C">
      <w:pPr>
        <w:pStyle w:val="Doublehangingindent"/>
        <w:numPr>
          <w:ilvl w:val="0"/>
          <w:numId w:val="10"/>
        </w:numPr>
        <w:spacing w:after="0"/>
        <w:jc w:val="both"/>
        <w:rPr>
          <w:rFonts w:ascii="Arial" w:hAnsi="Arial" w:cs="Arial"/>
          <w:sz w:val="22"/>
          <w:szCs w:val="22"/>
        </w:rPr>
      </w:pPr>
      <w:r>
        <w:rPr>
          <w:rFonts w:ascii="Arial" w:hAnsi="Arial" w:cs="Arial"/>
          <w:sz w:val="22"/>
          <w:szCs w:val="22"/>
        </w:rPr>
        <w:t>be the responsibility of the lawyer; and</w:t>
      </w:r>
    </w:p>
    <w:p w14:paraId="3BB38DD4" w14:textId="77777777" w:rsidR="00B2015C" w:rsidRDefault="00B2015C" w:rsidP="00B2015C">
      <w:pPr>
        <w:pStyle w:val="Doublehangingindent"/>
        <w:numPr>
          <w:ilvl w:val="0"/>
          <w:numId w:val="10"/>
        </w:numPr>
        <w:ind w:left="970" w:hanging="403"/>
        <w:jc w:val="both"/>
        <w:rPr>
          <w:rFonts w:ascii="Arial" w:hAnsi="Arial" w:cs="Arial"/>
          <w:sz w:val="22"/>
          <w:szCs w:val="22"/>
        </w:rPr>
      </w:pPr>
      <w:r>
        <w:rPr>
          <w:rFonts w:ascii="Arial" w:hAnsi="Arial" w:cs="Arial"/>
          <w:sz w:val="22"/>
          <w:szCs w:val="22"/>
        </w:rPr>
        <w:t>have been authorised for transmission by the party on whose behalf they have been sent.</w:t>
      </w:r>
    </w:p>
    <w:p w14:paraId="7254CF4F" w14:textId="77777777" w:rsidR="00B2015C" w:rsidRDefault="00B2015C" w:rsidP="00B2015C">
      <w:pPr>
        <w:pStyle w:val="Hangindent"/>
        <w:numPr>
          <w:ilvl w:val="0"/>
          <w:numId w:val="9"/>
        </w:numPr>
        <w:spacing w:after="0"/>
        <w:jc w:val="both"/>
        <w:rPr>
          <w:rFonts w:ascii="Arial" w:hAnsi="Arial" w:cs="Arial"/>
          <w:sz w:val="22"/>
          <w:szCs w:val="22"/>
        </w:rPr>
      </w:pPr>
      <w:r>
        <w:rPr>
          <w:rFonts w:ascii="Arial" w:hAnsi="Arial" w:cs="Arial"/>
          <w:sz w:val="22"/>
          <w:szCs w:val="22"/>
        </w:rPr>
        <w:t>A lawyer transmitting a copy of a document not already filed with the Court will be deemed to accept personal responsibility for payment of any court filing or other fee attaching to the matter being dealt with electronically.</w:t>
      </w:r>
    </w:p>
    <w:p w14:paraId="3AA20CF9" w14:textId="77777777" w:rsidR="00B2015C" w:rsidRDefault="00B2015C" w:rsidP="00B2015C">
      <w:pPr>
        <w:pStyle w:val="Hangindent"/>
        <w:spacing w:after="0"/>
        <w:jc w:val="both"/>
        <w:rPr>
          <w:rFonts w:ascii="Arial" w:hAnsi="Arial" w:cs="Arial"/>
          <w:sz w:val="22"/>
          <w:szCs w:val="22"/>
        </w:rPr>
      </w:pPr>
    </w:p>
    <w:p w14:paraId="75D88F49" w14:textId="77777777" w:rsidR="00B2015C" w:rsidRDefault="00B2015C" w:rsidP="00B2015C">
      <w:pPr>
        <w:rPr>
          <w:rFonts w:ascii="Arial" w:hAnsi="Arial" w:cs="Arial"/>
        </w:rPr>
      </w:pPr>
      <w:r>
        <w:rPr>
          <w:rFonts w:ascii="Arial" w:hAnsi="Arial" w:cs="Arial"/>
        </w:rPr>
        <w:br w:type="page"/>
      </w:r>
    </w:p>
    <w:p w14:paraId="0FFDD3C4" w14:textId="77777777" w:rsidR="00B2015C" w:rsidRDefault="00B2015C" w:rsidP="00B2015C">
      <w:pPr>
        <w:pStyle w:val="ListParagraph"/>
        <w:numPr>
          <w:ilvl w:val="0"/>
          <w:numId w:val="1"/>
        </w:numPr>
        <w:ind w:left="284" w:hanging="284"/>
        <w:jc w:val="both"/>
        <w:rPr>
          <w:rFonts w:ascii="Arial" w:hAnsi="Arial" w:cs="Arial"/>
          <w:b/>
          <w:bCs/>
          <w:sz w:val="22"/>
          <w:szCs w:val="22"/>
        </w:rPr>
      </w:pPr>
      <w:r>
        <w:rPr>
          <w:rFonts w:ascii="Arial" w:hAnsi="Arial" w:cs="Arial"/>
          <w:b/>
          <w:bCs/>
          <w:sz w:val="22"/>
          <w:szCs w:val="22"/>
        </w:rPr>
        <w:lastRenderedPageBreak/>
        <w:t>Publication of prescribed requirements – Rule 31.4</w:t>
      </w:r>
    </w:p>
    <w:p w14:paraId="17B1BD94" w14:textId="77777777" w:rsidR="00B2015C" w:rsidRDefault="00B2015C" w:rsidP="00B2015C">
      <w:pPr>
        <w:pStyle w:val="Hangindent"/>
        <w:spacing w:after="0"/>
        <w:ind w:left="0" w:firstLine="0"/>
        <w:jc w:val="both"/>
        <w:rPr>
          <w:rFonts w:ascii="Arial" w:hAnsi="Arial" w:cs="Arial"/>
          <w:sz w:val="22"/>
          <w:szCs w:val="22"/>
        </w:rPr>
      </w:pPr>
    </w:p>
    <w:p w14:paraId="18C29329" w14:textId="77777777" w:rsidR="00B2015C" w:rsidRDefault="00B2015C" w:rsidP="00B2015C">
      <w:pPr>
        <w:pStyle w:val="Hangindent"/>
        <w:spacing w:after="0"/>
        <w:ind w:left="0" w:firstLine="0"/>
        <w:jc w:val="both"/>
        <w:rPr>
          <w:rFonts w:ascii="Arial" w:hAnsi="Arial" w:cs="Arial"/>
          <w:i/>
          <w:iCs/>
          <w:sz w:val="22"/>
          <w:szCs w:val="22"/>
        </w:rPr>
      </w:pPr>
      <w:r>
        <w:rPr>
          <w:rFonts w:ascii="Arial" w:hAnsi="Arial" w:cs="Arial"/>
          <w:i/>
          <w:iCs/>
          <w:sz w:val="22"/>
          <w:szCs w:val="22"/>
        </w:rPr>
        <w:t>Prescribed Forms</w:t>
      </w:r>
    </w:p>
    <w:p w14:paraId="7B944ECD" w14:textId="77777777" w:rsidR="00B2015C" w:rsidRDefault="00B2015C" w:rsidP="00B2015C">
      <w:pPr>
        <w:pStyle w:val="Hangindent"/>
        <w:spacing w:after="0"/>
        <w:ind w:left="0" w:firstLine="0"/>
        <w:jc w:val="both"/>
        <w:rPr>
          <w:rFonts w:ascii="Arial" w:hAnsi="Arial" w:cs="Arial"/>
          <w:i/>
          <w:iCs/>
          <w:sz w:val="22"/>
          <w:szCs w:val="22"/>
        </w:rPr>
      </w:pPr>
    </w:p>
    <w:p w14:paraId="03A0168C" w14:textId="77777777" w:rsidR="00B2015C" w:rsidRDefault="00B2015C" w:rsidP="00B2015C">
      <w:pPr>
        <w:pStyle w:val="Hangindent"/>
        <w:numPr>
          <w:ilvl w:val="0"/>
          <w:numId w:val="11"/>
        </w:numPr>
        <w:ind w:left="561" w:hanging="561"/>
        <w:jc w:val="both"/>
        <w:rPr>
          <w:rFonts w:ascii="Arial" w:hAnsi="Arial" w:cs="Arial"/>
          <w:sz w:val="22"/>
          <w:szCs w:val="22"/>
        </w:rPr>
      </w:pPr>
      <w:r>
        <w:rPr>
          <w:rFonts w:ascii="Arial" w:hAnsi="Arial" w:cs="Arial"/>
          <w:sz w:val="22"/>
          <w:szCs w:val="22"/>
        </w:rPr>
        <w:t>The forms contained in Schedule 7 of the Uniform Civil Rules 2020 are the prescribed forms and content of documents to be filed at court (Prescribed Forms).</w:t>
      </w:r>
    </w:p>
    <w:p w14:paraId="2F8DA6F1" w14:textId="77777777" w:rsidR="00B2015C" w:rsidRDefault="00B2015C" w:rsidP="00B2015C">
      <w:pPr>
        <w:pStyle w:val="Hangindent"/>
        <w:numPr>
          <w:ilvl w:val="0"/>
          <w:numId w:val="11"/>
        </w:numPr>
        <w:ind w:left="561" w:hanging="561"/>
        <w:jc w:val="both"/>
        <w:rPr>
          <w:rFonts w:ascii="Arial" w:hAnsi="Arial" w:cs="Arial"/>
          <w:sz w:val="22"/>
          <w:szCs w:val="22"/>
        </w:rPr>
      </w:pPr>
      <w:bookmarkStart w:id="9" w:name="_Hlk35939426"/>
      <w:r>
        <w:rPr>
          <w:rFonts w:ascii="Arial" w:hAnsi="Arial" w:cs="Arial"/>
          <w:sz w:val="22"/>
          <w:szCs w:val="22"/>
        </w:rPr>
        <w:t>If a proceeding is—</w:t>
      </w:r>
    </w:p>
    <w:p w14:paraId="684A3A39" w14:textId="77777777" w:rsidR="00B2015C" w:rsidRDefault="00B2015C" w:rsidP="00B2015C">
      <w:pPr>
        <w:pStyle w:val="Doublehangingindent"/>
        <w:numPr>
          <w:ilvl w:val="0"/>
          <w:numId w:val="12"/>
        </w:numPr>
        <w:spacing w:after="0"/>
        <w:jc w:val="both"/>
        <w:rPr>
          <w:rFonts w:ascii="Arial" w:hAnsi="Arial" w:cs="Arial"/>
          <w:sz w:val="22"/>
          <w:szCs w:val="22"/>
        </w:rPr>
      </w:pPr>
      <w:r>
        <w:rPr>
          <w:rFonts w:ascii="Arial" w:hAnsi="Arial" w:cs="Arial"/>
          <w:sz w:val="22"/>
          <w:szCs w:val="22"/>
        </w:rPr>
        <w:t>a minor civil action in the Magistrates Court, a document filed in the proceeding must show “Minor Civil”; or</w:t>
      </w:r>
    </w:p>
    <w:p w14:paraId="02A89246" w14:textId="77777777" w:rsidR="00B2015C" w:rsidRDefault="00B2015C" w:rsidP="00B2015C">
      <w:pPr>
        <w:pStyle w:val="Doublehangingindent"/>
        <w:numPr>
          <w:ilvl w:val="0"/>
          <w:numId w:val="12"/>
        </w:numPr>
        <w:ind w:left="970" w:hanging="403"/>
        <w:jc w:val="both"/>
        <w:rPr>
          <w:rFonts w:ascii="Arial" w:hAnsi="Arial" w:cs="Arial"/>
          <w:sz w:val="22"/>
          <w:szCs w:val="22"/>
        </w:rPr>
      </w:pPr>
      <w:r>
        <w:rPr>
          <w:rFonts w:ascii="Arial" w:hAnsi="Arial" w:cs="Arial"/>
          <w:sz w:val="22"/>
          <w:szCs w:val="22"/>
        </w:rPr>
        <w:t>in the Full Court of the Supreme Court, a document filed in the proceeding must show “Full Court”;</w:t>
      </w:r>
    </w:p>
    <w:p w14:paraId="18003AAF" w14:textId="77777777" w:rsidR="00B2015C" w:rsidRDefault="00B2015C" w:rsidP="00B2015C">
      <w:pPr>
        <w:pStyle w:val="Doublehangindent"/>
        <w:spacing w:before="0"/>
        <w:ind w:left="567" w:firstLine="0"/>
        <w:rPr>
          <w:rFonts w:ascii="Arial" w:hAnsi="Arial" w:cs="Arial"/>
          <w:sz w:val="22"/>
          <w:szCs w:val="22"/>
        </w:rPr>
      </w:pPr>
      <w:r>
        <w:rPr>
          <w:rFonts w:ascii="Arial" w:hAnsi="Arial" w:cs="Arial"/>
          <w:sz w:val="22"/>
          <w:szCs w:val="22"/>
        </w:rPr>
        <w:t>in the court heading immediately below the name of the court and reference to the civil jurisdiction.</w:t>
      </w:r>
    </w:p>
    <w:bookmarkEnd w:id="9"/>
    <w:p w14:paraId="5BD80858" w14:textId="77777777" w:rsidR="00B2015C" w:rsidRDefault="00B2015C" w:rsidP="00B2015C">
      <w:pPr>
        <w:pStyle w:val="Hangindent"/>
        <w:numPr>
          <w:ilvl w:val="0"/>
          <w:numId w:val="11"/>
        </w:numPr>
        <w:ind w:left="561" w:hanging="561"/>
        <w:jc w:val="both"/>
        <w:rPr>
          <w:rFonts w:ascii="Arial" w:hAnsi="Arial" w:cs="Arial"/>
          <w:sz w:val="22"/>
          <w:szCs w:val="22"/>
        </w:rPr>
      </w:pPr>
      <w:r>
        <w:rPr>
          <w:rFonts w:ascii="Arial" w:hAnsi="Arial" w:cs="Arial"/>
          <w:sz w:val="22"/>
          <w:szCs w:val="22"/>
        </w:rPr>
        <w:t>If a proceeding is allocated to a list under Chapter 23, a document filed in the proceeding (other than the initial originating process) must show the name of that list in the court heading immediately below the name of the court and reference to the civil jurisdiction and, if applicable, the name inserted in accordance with clause (2).</w:t>
      </w:r>
    </w:p>
    <w:p w14:paraId="09C4EE5D" w14:textId="77777777" w:rsidR="00B2015C" w:rsidRDefault="00B2015C" w:rsidP="00B2015C">
      <w:pPr>
        <w:pStyle w:val="Hangindent"/>
        <w:numPr>
          <w:ilvl w:val="0"/>
          <w:numId w:val="11"/>
        </w:numPr>
        <w:ind w:left="561" w:hanging="561"/>
        <w:jc w:val="both"/>
        <w:rPr>
          <w:rFonts w:ascii="Arial" w:hAnsi="Arial" w:cs="Arial"/>
          <w:sz w:val="22"/>
          <w:szCs w:val="22"/>
        </w:rPr>
      </w:pPr>
      <w:r>
        <w:rPr>
          <w:rFonts w:ascii="Arial" w:hAnsi="Arial" w:cs="Arial"/>
          <w:sz w:val="22"/>
          <w:szCs w:val="22"/>
        </w:rPr>
        <w:t>The Chief Judicial Officer may—</w:t>
      </w:r>
    </w:p>
    <w:p w14:paraId="62F929D1" w14:textId="77777777" w:rsidR="00B2015C" w:rsidRDefault="00B2015C" w:rsidP="00B2015C">
      <w:pPr>
        <w:pStyle w:val="Doublehangingindent"/>
        <w:numPr>
          <w:ilvl w:val="0"/>
          <w:numId w:val="13"/>
        </w:numPr>
        <w:spacing w:after="0"/>
        <w:jc w:val="both"/>
        <w:rPr>
          <w:rFonts w:ascii="Arial" w:hAnsi="Arial" w:cs="Arial"/>
          <w:sz w:val="22"/>
          <w:szCs w:val="22"/>
        </w:rPr>
      </w:pPr>
      <w:r>
        <w:rPr>
          <w:rFonts w:ascii="Arial" w:hAnsi="Arial" w:cs="Arial"/>
          <w:sz w:val="22"/>
          <w:szCs w:val="22"/>
        </w:rPr>
        <w:t>modify or delete a prescribed form contained in Schedule 7; or</w:t>
      </w:r>
    </w:p>
    <w:p w14:paraId="0BC6346F" w14:textId="77777777" w:rsidR="00B2015C" w:rsidRDefault="00B2015C" w:rsidP="00B2015C">
      <w:pPr>
        <w:pStyle w:val="Doublehangingindent"/>
        <w:numPr>
          <w:ilvl w:val="0"/>
          <w:numId w:val="13"/>
        </w:numPr>
        <w:ind w:left="970" w:hanging="403"/>
        <w:jc w:val="both"/>
        <w:rPr>
          <w:rFonts w:ascii="Arial" w:hAnsi="Arial" w:cs="Arial"/>
          <w:sz w:val="22"/>
          <w:szCs w:val="22"/>
        </w:rPr>
      </w:pPr>
      <w:r>
        <w:rPr>
          <w:rFonts w:ascii="Arial" w:hAnsi="Arial" w:cs="Arial"/>
          <w:sz w:val="22"/>
          <w:szCs w:val="22"/>
        </w:rPr>
        <w:t>prescribe the form and content of additional defined types of documents to be filed at court (prescribed forms).</w:t>
      </w:r>
    </w:p>
    <w:p w14:paraId="4DD64351" w14:textId="77777777" w:rsidR="00B2015C" w:rsidRDefault="00B2015C" w:rsidP="00B2015C">
      <w:pPr>
        <w:pStyle w:val="Hangindent"/>
        <w:numPr>
          <w:ilvl w:val="0"/>
          <w:numId w:val="11"/>
        </w:numPr>
        <w:spacing w:after="0"/>
        <w:jc w:val="both"/>
        <w:rPr>
          <w:rFonts w:ascii="Arial" w:hAnsi="Arial" w:cs="Arial"/>
          <w:sz w:val="22"/>
          <w:szCs w:val="22"/>
        </w:rPr>
      </w:pPr>
      <w:r>
        <w:rPr>
          <w:rFonts w:ascii="Arial" w:hAnsi="Arial" w:cs="Arial"/>
          <w:sz w:val="22"/>
          <w:szCs w:val="22"/>
        </w:rPr>
        <w:t>When these Rules refer to a prescribed form, that form (as modified under clause (4) when applicable) must, subject to rule 31.5, be used for that purpose or in those circumstances.</w:t>
      </w:r>
    </w:p>
    <w:p w14:paraId="2FE14EB9" w14:textId="77777777" w:rsidR="00B2015C" w:rsidRDefault="00B2015C" w:rsidP="00B2015C">
      <w:pPr>
        <w:pStyle w:val="Hangindent"/>
        <w:spacing w:after="0"/>
        <w:ind w:left="567"/>
        <w:jc w:val="both"/>
        <w:rPr>
          <w:rFonts w:ascii="Arial" w:hAnsi="Arial" w:cs="Arial"/>
          <w:i/>
          <w:iCs/>
          <w:sz w:val="22"/>
          <w:szCs w:val="22"/>
        </w:rPr>
      </w:pPr>
    </w:p>
    <w:p w14:paraId="7195CFF1" w14:textId="77777777" w:rsidR="00B2015C" w:rsidRDefault="00B2015C" w:rsidP="00B2015C">
      <w:pPr>
        <w:pStyle w:val="Hangindent"/>
        <w:spacing w:after="0"/>
        <w:ind w:left="567"/>
        <w:jc w:val="both"/>
        <w:rPr>
          <w:rFonts w:ascii="Arial" w:hAnsi="Arial" w:cs="Arial"/>
          <w:i/>
          <w:iCs/>
          <w:sz w:val="22"/>
          <w:szCs w:val="22"/>
        </w:rPr>
      </w:pPr>
      <w:r>
        <w:rPr>
          <w:rFonts w:ascii="Arial" w:hAnsi="Arial" w:cs="Arial"/>
          <w:i/>
          <w:iCs/>
          <w:sz w:val="22"/>
          <w:szCs w:val="22"/>
        </w:rPr>
        <w:t>Form of documents for filing in the Court</w:t>
      </w:r>
    </w:p>
    <w:p w14:paraId="1B574E5C" w14:textId="77777777" w:rsidR="00B2015C" w:rsidRDefault="00B2015C" w:rsidP="00B2015C">
      <w:pPr>
        <w:pStyle w:val="Hangindent"/>
        <w:spacing w:after="0"/>
        <w:ind w:left="567"/>
        <w:jc w:val="both"/>
        <w:rPr>
          <w:rFonts w:ascii="Arial" w:hAnsi="Arial" w:cs="Arial"/>
          <w:i/>
          <w:iCs/>
          <w:sz w:val="22"/>
          <w:szCs w:val="22"/>
        </w:rPr>
      </w:pPr>
    </w:p>
    <w:p w14:paraId="7F65D1FF" w14:textId="77777777" w:rsidR="00B2015C" w:rsidRDefault="00B2015C" w:rsidP="00B2015C">
      <w:pPr>
        <w:pStyle w:val="Hangindent"/>
        <w:numPr>
          <w:ilvl w:val="0"/>
          <w:numId w:val="14"/>
        </w:numPr>
        <w:ind w:left="561" w:hanging="561"/>
        <w:jc w:val="both"/>
        <w:rPr>
          <w:rFonts w:ascii="Arial" w:hAnsi="Arial" w:cs="Arial"/>
          <w:sz w:val="22"/>
          <w:szCs w:val="22"/>
        </w:rPr>
      </w:pPr>
      <w:r>
        <w:rPr>
          <w:rFonts w:ascii="Arial" w:hAnsi="Arial" w:cs="Arial"/>
          <w:sz w:val="22"/>
          <w:szCs w:val="22"/>
        </w:rPr>
        <w:t>Unless the Uniform Civil Rules 2020 otherwise provide or the Registrar otherwise directs, a document prepared for filing or lodgement in the Court is to—</w:t>
      </w:r>
    </w:p>
    <w:p w14:paraId="003614C8" w14:textId="77777777" w:rsidR="00B2015C" w:rsidRDefault="00B2015C" w:rsidP="00B2015C">
      <w:pPr>
        <w:pStyle w:val="Doublehangingindent"/>
        <w:numPr>
          <w:ilvl w:val="0"/>
          <w:numId w:val="15"/>
        </w:numPr>
        <w:spacing w:after="0"/>
        <w:jc w:val="both"/>
        <w:rPr>
          <w:rFonts w:ascii="Arial" w:hAnsi="Arial" w:cs="Arial"/>
          <w:sz w:val="22"/>
          <w:szCs w:val="22"/>
        </w:rPr>
      </w:pPr>
      <w:r>
        <w:rPr>
          <w:rFonts w:ascii="Arial" w:hAnsi="Arial" w:cs="Arial"/>
          <w:sz w:val="22"/>
          <w:szCs w:val="22"/>
        </w:rPr>
        <w:t>be in the English language;</w:t>
      </w:r>
    </w:p>
    <w:p w14:paraId="35C7FAEC" w14:textId="77777777" w:rsidR="00B2015C" w:rsidRDefault="00B2015C" w:rsidP="00B2015C">
      <w:pPr>
        <w:pStyle w:val="Doublehangingindent"/>
        <w:numPr>
          <w:ilvl w:val="0"/>
          <w:numId w:val="15"/>
        </w:numPr>
        <w:spacing w:after="0"/>
        <w:jc w:val="both"/>
        <w:rPr>
          <w:rFonts w:ascii="Arial" w:hAnsi="Arial" w:cs="Arial"/>
          <w:sz w:val="22"/>
          <w:szCs w:val="22"/>
        </w:rPr>
      </w:pPr>
      <w:r>
        <w:rPr>
          <w:rFonts w:ascii="Arial" w:hAnsi="Arial" w:cs="Arial"/>
          <w:sz w:val="22"/>
          <w:szCs w:val="22"/>
        </w:rPr>
        <w:t>be on A4 size white bond paper;</w:t>
      </w:r>
    </w:p>
    <w:p w14:paraId="53F20767" w14:textId="77777777" w:rsidR="00B2015C" w:rsidRDefault="00B2015C" w:rsidP="00B2015C">
      <w:pPr>
        <w:pStyle w:val="Doublehangingindent"/>
        <w:numPr>
          <w:ilvl w:val="0"/>
          <w:numId w:val="15"/>
        </w:numPr>
        <w:spacing w:after="0"/>
        <w:jc w:val="both"/>
        <w:rPr>
          <w:rFonts w:ascii="Arial" w:hAnsi="Arial" w:cs="Arial"/>
          <w:sz w:val="22"/>
          <w:szCs w:val="22"/>
        </w:rPr>
      </w:pPr>
      <w:r>
        <w:rPr>
          <w:rFonts w:ascii="Arial" w:hAnsi="Arial" w:cs="Arial"/>
          <w:sz w:val="22"/>
          <w:szCs w:val="22"/>
        </w:rPr>
        <w:t>be paginated;</w:t>
      </w:r>
    </w:p>
    <w:p w14:paraId="0712D037" w14:textId="77777777" w:rsidR="00B2015C" w:rsidRDefault="00B2015C" w:rsidP="00B2015C">
      <w:pPr>
        <w:pStyle w:val="Doublehangingindent"/>
        <w:numPr>
          <w:ilvl w:val="0"/>
          <w:numId w:val="15"/>
        </w:numPr>
        <w:spacing w:after="0"/>
        <w:jc w:val="both"/>
        <w:rPr>
          <w:rFonts w:ascii="Arial" w:hAnsi="Arial" w:cs="Arial"/>
          <w:sz w:val="22"/>
          <w:szCs w:val="22"/>
        </w:rPr>
      </w:pPr>
      <w:r>
        <w:rPr>
          <w:rFonts w:ascii="Arial" w:hAnsi="Arial" w:cs="Arial"/>
          <w:sz w:val="22"/>
          <w:szCs w:val="22"/>
        </w:rPr>
        <w:t>be typed or printed so as to be completely legible in no less than the size of size 10 Arial font except for quotations and footnotes which may be in size 8 Arial font (or equivalent);</w:t>
      </w:r>
    </w:p>
    <w:p w14:paraId="77CA80A1" w14:textId="77777777" w:rsidR="00B2015C" w:rsidRDefault="00B2015C" w:rsidP="00B2015C">
      <w:pPr>
        <w:pStyle w:val="Doublehangingindent"/>
        <w:numPr>
          <w:ilvl w:val="0"/>
          <w:numId w:val="15"/>
        </w:numPr>
        <w:spacing w:after="0"/>
        <w:jc w:val="both"/>
        <w:rPr>
          <w:rFonts w:ascii="Arial" w:hAnsi="Arial" w:cs="Arial"/>
          <w:sz w:val="22"/>
          <w:szCs w:val="22"/>
        </w:rPr>
      </w:pPr>
      <w:r>
        <w:rPr>
          <w:rFonts w:ascii="Arial" w:hAnsi="Arial" w:cs="Arial"/>
          <w:sz w:val="22"/>
          <w:szCs w:val="22"/>
        </w:rPr>
        <w:t>have margins of 1.27 centimetres to the left and 1.27 centimetres to the right;</w:t>
      </w:r>
    </w:p>
    <w:p w14:paraId="2EB5989A" w14:textId="77777777" w:rsidR="00B2015C" w:rsidRDefault="00B2015C" w:rsidP="00B2015C">
      <w:pPr>
        <w:pStyle w:val="Doublehangingindent"/>
        <w:numPr>
          <w:ilvl w:val="0"/>
          <w:numId w:val="15"/>
        </w:numPr>
        <w:spacing w:after="0"/>
        <w:jc w:val="both"/>
        <w:rPr>
          <w:rFonts w:ascii="Arial" w:hAnsi="Arial" w:cs="Arial"/>
          <w:sz w:val="22"/>
          <w:szCs w:val="22"/>
        </w:rPr>
      </w:pPr>
      <w:r>
        <w:rPr>
          <w:rFonts w:ascii="Arial" w:hAnsi="Arial" w:cs="Arial"/>
          <w:sz w:val="22"/>
          <w:szCs w:val="22"/>
        </w:rPr>
        <w:t>have one and a half spacing between lines (unless the document is to be settled by the Court, in which case double spacing is to be used);</w:t>
      </w:r>
    </w:p>
    <w:p w14:paraId="07AC0605" w14:textId="77777777" w:rsidR="00B2015C" w:rsidRDefault="00B2015C" w:rsidP="00B2015C">
      <w:pPr>
        <w:pStyle w:val="Doublehangingindent"/>
        <w:numPr>
          <w:ilvl w:val="0"/>
          <w:numId w:val="15"/>
        </w:numPr>
        <w:spacing w:after="0"/>
        <w:jc w:val="both"/>
        <w:rPr>
          <w:rFonts w:ascii="Arial" w:hAnsi="Arial" w:cs="Arial"/>
          <w:sz w:val="22"/>
          <w:szCs w:val="22"/>
        </w:rPr>
      </w:pPr>
      <w:r>
        <w:rPr>
          <w:rFonts w:ascii="Arial" w:hAnsi="Arial" w:cs="Arial"/>
          <w:sz w:val="22"/>
          <w:szCs w:val="22"/>
        </w:rPr>
        <w:t>have double spacing between paragraphs;</w:t>
      </w:r>
    </w:p>
    <w:p w14:paraId="6D6F9886" w14:textId="77777777" w:rsidR="00B2015C" w:rsidRDefault="00B2015C" w:rsidP="00B2015C">
      <w:pPr>
        <w:pStyle w:val="Doublehangingindent"/>
        <w:numPr>
          <w:ilvl w:val="0"/>
          <w:numId w:val="15"/>
        </w:numPr>
        <w:spacing w:after="0"/>
        <w:jc w:val="both"/>
        <w:rPr>
          <w:rFonts w:ascii="Arial" w:hAnsi="Arial" w:cs="Arial"/>
          <w:sz w:val="22"/>
          <w:szCs w:val="22"/>
        </w:rPr>
      </w:pPr>
      <w:r>
        <w:rPr>
          <w:rFonts w:ascii="Arial" w:hAnsi="Arial" w:cs="Arial"/>
          <w:sz w:val="22"/>
          <w:szCs w:val="22"/>
        </w:rPr>
        <w:t>have figures and amounts of money expressed in numerals and not in words; and</w:t>
      </w:r>
    </w:p>
    <w:p w14:paraId="6D3B3B0C" w14:textId="77777777" w:rsidR="00B2015C" w:rsidRDefault="00B2015C" w:rsidP="00B2015C">
      <w:pPr>
        <w:pStyle w:val="Doublehangingindent"/>
        <w:numPr>
          <w:ilvl w:val="0"/>
          <w:numId w:val="15"/>
        </w:numPr>
        <w:ind w:left="970" w:hanging="403"/>
        <w:jc w:val="both"/>
        <w:rPr>
          <w:rFonts w:ascii="Arial" w:hAnsi="Arial" w:cs="Arial"/>
          <w:sz w:val="22"/>
          <w:szCs w:val="22"/>
        </w:rPr>
      </w:pPr>
      <w:r>
        <w:rPr>
          <w:rFonts w:ascii="Arial" w:hAnsi="Arial" w:cs="Arial"/>
          <w:sz w:val="22"/>
          <w:szCs w:val="22"/>
        </w:rPr>
        <w:t>have any erasures or handwritten additions authenticated.</w:t>
      </w:r>
    </w:p>
    <w:p w14:paraId="14552AA2" w14:textId="77777777" w:rsidR="00B2015C" w:rsidRDefault="00B2015C" w:rsidP="00B2015C">
      <w:pPr>
        <w:pStyle w:val="Hangindent"/>
        <w:numPr>
          <w:ilvl w:val="0"/>
          <w:numId w:val="14"/>
        </w:numPr>
        <w:ind w:left="561" w:hanging="561"/>
        <w:jc w:val="both"/>
        <w:rPr>
          <w:rFonts w:ascii="Arial" w:hAnsi="Arial" w:cs="Arial"/>
          <w:sz w:val="22"/>
          <w:szCs w:val="22"/>
        </w:rPr>
      </w:pPr>
      <w:r>
        <w:rPr>
          <w:rFonts w:ascii="Arial" w:hAnsi="Arial" w:cs="Arial"/>
          <w:sz w:val="22"/>
          <w:szCs w:val="22"/>
        </w:rPr>
        <w:t>Unless the Court otherwise directs, a document prepared for filing in Court is to be typed or printed—</w:t>
      </w:r>
    </w:p>
    <w:p w14:paraId="2251324A" w14:textId="77777777" w:rsidR="00B2015C" w:rsidRDefault="00B2015C" w:rsidP="00B2015C">
      <w:pPr>
        <w:pStyle w:val="Doublehangingindent"/>
        <w:numPr>
          <w:ilvl w:val="0"/>
          <w:numId w:val="16"/>
        </w:numPr>
        <w:spacing w:after="0"/>
        <w:jc w:val="both"/>
        <w:rPr>
          <w:rFonts w:ascii="Arial" w:hAnsi="Arial" w:cs="Arial"/>
          <w:sz w:val="22"/>
          <w:szCs w:val="22"/>
        </w:rPr>
      </w:pPr>
      <w:r>
        <w:rPr>
          <w:rFonts w:ascii="Arial" w:hAnsi="Arial" w:cs="Arial"/>
          <w:sz w:val="22"/>
          <w:szCs w:val="22"/>
        </w:rPr>
        <w:t>on a single side of the page if it is an original affidavit or statutory declaration (including the exhibits to an affidavit or annexures to a statutory declaration); and</w:t>
      </w:r>
    </w:p>
    <w:p w14:paraId="20030585" w14:textId="77777777" w:rsidR="00B2015C" w:rsidRDefault="00B2015C" w:rsidP="00B2015C">
      <w:pPr>
        <w:pStyle w:val="Doublehangingindent"/>
        <w:numPr>
          <w:ilvl w:val="0"/>
          <w:numId w:val="16"/>
        </w:numPr>
        <w:ind w:left="970" w:hanging="403"/>
        <w:jc w:val="both"/>
        <w:rPr>
          <w:rFonts w:ascii="Arial" w:hAnsi="Arial" w:cs="Arial"/>
          <w:sz w:val="22"/>
          <w:szCs w:val="22"/>
        </w:rPr>
      </w:pPr>
      <w:r>
        <w:rPr>
          <w:rFonts w:ascii="Arial" w:hAnsi="Arial" w:cs="Arial"/>
          <w:sz w:val="22"/>
          <w:szCs w:val="22"/>
        </w:rPr>
        <w:t>otherwise, on both sides of the page.</w:t>
      </w:r>
    </w:p>
    <w:p w14:paraId="2EF7817B" w14:textId="77777777" w:rsidR="00B2015C" w:rsidRDefault="00B2015C" w:rsidP="00B2015C">
      <w:pPr>
        <w:pStyle w:val="Hangindent"/>
        <w:numPr>
          <w:ilvl w:val="0"/>
          <w:numId w:val="14"/>
        </w:numPr>
        <w:ind w:left="561" w:hanging="561"/>
        <w:jc w:val="both"/>
        <w:rPr>
          <w:rFonts w:ascii="Arial" w:hAnsi="Arial" w:cs="Arial"/>
          <w:sz w:val="22"/>
          <w:szCs w:val="22"/>
        </w:rPr>
      </w:pPr>
      <w:r>
        <w:rPr>
          <w:rFonts w:ascii="Arial" w:hAnsi="Arial" w:cs="Arial"/>
          <w:sz w:val="22"/>
          <w:szCs w:val="22"/>
        </w:rPr>
        <w:t>Unless the Court otherwise directs, a document prepared for lodging in Court for use as a working copy by a Judge or Master is to be typed or printed—</w:t>
      </w:r>
    </w:p>
    <w:p w14:paraId="682F0E11" w14:textId="77777777" w:rsidR="00B2015C" w:rsidRDefault="00B2015C" w:rsidP="00B2015C">
      <w:pPr>
        <w:pStyle w:val="Doublehangingindent"/>
        <w:numPr>
          <w:ilvl w:val="0"/>
          <w:numId w:val="17"/>
        </w:numPr>
        <w:spacing w:after="0"/>
        <w:jc w:val="both"/>
        <w:rPr>
          <w:rFonts w:ascii="Arial" w:hAnsi="Arial" w:cs="Arial"/>
          <w:sz w:val="22"/>
          <w:szCs w:val="22"/>
        </w:rPr>
      </w:pPr>
      <w:r>
        <w:rPr>
          <w:rFonts w:ascii="Arial" w:hAnsi="Arial" w:cs="Arial"/>
          <w:sz w:val="22"/>
          <w:szCs w:val="22"/>
        </w:rPr>
        <w:t>on a single side of the page for tender books (rule 154.3 of the Rules);</w:t>
      </w:r>
    </w:p>
    <w:p w14:paraId="703B9FD4" w14:textId="77777777" w:rsidR="00B2015C" w:rsidRDefault="00B2015C" w:rsidP="00B2015C">
      <w:pPr>
        <w:pStyle w:val="Doublehangingindent"/>
        <w:numPr>
          <w:ilvl w:val="0"/>
          <w:numId w:val="17"/>
        </w:numPr>
        <w:spacing w:after="0"/>
        <w:jc w:val="both"/>
        <w:rPr>
          <w:rFonts w:ascii="Arial" w:hAnsi="Arial" w:cs="Arial"/>
          <w:sz w:val="22"/>
          <w:szCs w:val="22"/>
        </w:rPr>
      </w:pPr>
      <w:r>
        <w:rPr>
          <w:rFonts w:ascii="Arial" w:hAnsi="Arial" w:cs="Arial"/>
          <w:sz w:val="22"/>
          <w:szCs w:val="22"/>
        </w:rPr>
        <w:lastRenderedPageBreak/>
        <w:t xml:space="preserve">on a single side of the page for the working copy of the tender books (although the exhibit copy may, at the option of the party preparing the tender books, be copied on both sides of the page) </w:t>
      </w:r>
    </w:p>
    <w:p w14:paraId="3A6F794F" w14:textId="77777777" w:rsidR="00B2015C" w:rsidRDefault="00B2015C" w:rsidP="00B2015C">
      <w:pPr>
        <w:pStyle w:val="Doublehangingindent"/>
        <w:numPr>
          <w:ilvl w:val="0"/>
          <w:numId w:val="17"/>
        </w:numPr>
        <w:ind w:left="970" w:hanging="403"/>
        <w:jc w:val="both"/>
        <w:rPr>
          <w:rFonts w:ascii="Arial" w:hAnsi="Arial" w:cs="Arial"/>
          <w:sz w:val="22"/>
          <w:szCs w:val="22"/>
        </w:rPr>
      </w:pPr>
      <w:r>
        <w:rPr>
          <w:rFonts w:ascii="Arial" w:hAnsi="Arial" w:cs="Arial"/>
          <w:sz w:val="22"/>
          <w:szCs w:val="22"/>
        </w:rPr>
        <w:t>on both sides of the page for appeal books for appellate proceedings (rule 217.4, rule 218.4 and rule 218.9 of the Rules).</w:t>
      </w:r>
    </w:p>
    <w:p w14:paraId="618D97C0" w14:textId="77777777" w:rsidR="00B2015C" w:rsidRDefault="00300BC1" w:rsidP="00B2015C">
      <w:pPr>
        <w:pStyle w:val="Hangindent"/>
        <w:numPr>
          <w:ilvl w:val="0"/>
          <w:numId w:val="14"/>
        </w:numPr>
        <w:ind w:left="561" w:hanging="561"/>
        <w:jc w:val="both"/>
        <w:rPr>
          <w:rFonts w:ascii="Arial" w:hAnsi="Arial" w:cs="Arial"/>
          <w:sz w:val="22"/>
          <w:szCs w:val="22"/>
        </w:rPr>
      </w:pPr>
      <w:r>
        <w:rPr>
          <w:rFonts w:ascii="Arial" w:hAnsi="Arial" w:cs="Arial"/>
          <w:sz w:val="22"/>
          <w:szCs w:val="22"/>
        </w:rPr>
        <w:t>Despite clause (1)(b), w</w:t>
      </w:r>
      <w:r w:rsidR="00B2015C">
        <w:rPr>
          <w:rFonts w:ascii="Arial" w:hAnsi="Arial" w:cs="Arial"/>
          <w:sz w:val="22"/>
          <w:szCs w:val="22"/>
        </w:rPr>
        <w:t xml:space="preserve">here </w:t>
      </w:r>
      <w:r>
        <w:rPr>
          <w:rFonts w:ascii="Arial" w:hAnsi="Arial" w:cs="Arial"/>
          <w:sz w:val="22"/>
          <w:szCs w:val="22"/>
        </w:rPr>
        <w:t>a</w:t>
      </w:r>
      <w:r w:rsidR="00B2015C">
        <w:rPr>
          <w:rFonts w:ascii="Arial" w:hAnsi="Arial" w:cs="Arial"/>
          <w:sz w:val="22"/>
          <w:szCs w:val="22"/>
        </w:rPr>
        <w:t xml:space="preserve"> native document is larger than A</w:t>
      </w:r>
      <w:r w:rsidR="00DA5D89">
        <w:rPr>
          <w:rFonts w:ascii="Arial" w:hAnsi="Arial" w:cs="Arial"/>
          <w:sz w:val="22"/>
          <w:szCs w:val="22"/>
        </w:rPr>
        <w:t>4 (e.g.</w:t>
      </w:r>
      <w:r w:rsidR="00B2015C">
        <w:rPr>
          <w:rFonts w:ascii="Arial" w:hAnsi="Arial" w:cs="Arial"/>
          <w:sz w:val="22"/>
          <w:szCs w:val="22"/>
        </w:rPr>
        <w:t xml:space="preserve"> plans or Excel spreadsheets), the native document </w:t>
      </w:r>
      <w:r w:rsidR="00DA5D89">
        <w:rPr>
          <w:rFonts w:ascii="Arial" w:hAnsi="Arial" w:cs="Arial"/>
          <w:sz w:val="22"/>
          <w:szCs w:val="22"/>
        </w:rPr>
        <w:t>may be</w:t>
      </w:r>
      <w:r w:rsidR="00B2015C">
        <w:rPr>
          <w:rFonts w:ascii="Arial" w:hAnsi="Arial" w:cs="Arial"/>
          <w:sz w:val="22"/>
          <w:szCs w:val="22"/>
        </w:rPr>
        <w:t xml:space="preserve"> lodged physically at the Registry in </w:t>
      </w:r>
      <w:r w:rsidR="00DA5D89">
        <w:rPr>
          <w:rFonts w:ascii="Arial" w:hAnsi="Arial" w:cs="Arial"/>
          <w:sz w:val="22"/>
          <w:szCs w:val="22"/>
        </w:rPr>
        <w:t>its original size or in a size larger than A4</w:t>
      </w:r>
      <w:r w:rsidR="00B2015C">
        <w:rPr>
          <w:rFonts w:ascii="Arial" w:hAnsi="Arial" w:cs="Arial"/>
          <w:sz w:val="22"/>
          <w:szCs w:val="22"/>
        </w:rPr>
        <w:t>.</w:t>
      </w:r>
    </w:p>
    <w:p w14:paraId="1003889B" w14:textId="77777777" w:rsidR="00B2015C" w:rsidRDefault="00B2015C" w:rsidP="00B2015C">
      <w:pPr>
        <w:pStyle w:val="Hangindent"/>
        <w:numPr>
          <w:ilvl w:val="0"/>
          <w:numId w:val="14"/>
        </w:numPr>
        <w:ind w:left="561" w:hanging="561"/>
        <w:jc w:val="both"/>
        <w:rPr>
          <w:rFonts w:ascii="Arial" w:hAnsi="Arial" w:cs="Arial"/>
          <w:sz w:val="22"/>
          <w:szCs w:val="22"/>
        </w:rPr>
      </w:pPr>
      <w:r>
        <w:rPr>
          <w:rFonts w:ascii="Arial" w:hAnsi="Arial" w:cs="Arial"/>
          <w:sz w:val="22"/>
          <w:szCs w:val="22"/>
        </w:rPr>
        <w:t>If the Registrar is satisfied that a self-represented litigant is unable to comply with any of the above requirements, the Registrar may accept a document for filing, provided that it is legible and able to be filed conveniently.</w:t>
      </w:r>
    </w:p>
    <w:p w14:paraId="729C4C57" w14:textId="77777777" w:rsidR="00B2015C" w:rsidRDefault="00B2015C" w:rsidP="00B2015C">
      <w:pPr>
        <w:pStyle w:val="Hangindent"/>
        <w:numPr>
          <w:ilvl w:val="0"/>
          <w:numId w:val="14"/>
        </w:numPr>
        <w:spacing w:after="0"/>
        <w:jc w:val="both"/>
        <w:rPr>
          <w:rFonts w:ascii="Arial" w:hAnsi="Arial" w:cs="Arial"/>
          <w:sz w:val="22"/>
          <w:szCs w:val="22"/>
        </w:rPr>
      </w:pPr>
      <w:r>
        <w:rPr>
          <w:rFonts w:ascii="Arial" w:hAnsi="Arial" w:cs="Arial"/>
          <w:sz w:val="22"/>
          <w:szCs w:val="22"/>
        </w:rPr>
        <w:t>When there is substantial non-compliance with these requirements, the Registrar may refuse to accept a document for filing.</w:t>
      </w:r>
    </w:p>
    <w:p w14:paraId="7129A1FC" w14:textId="77777777" w:rsidR="00B2015C" w:rsidRDefault="00B2015C" w:rsidP="00B2015C">
      <w:pPr>
        <w:pStyle w:val="Hangindent"/>
        <w:spacing w:after="0"/>
        <w:ind w:left="0" w:firstLine="0"/>
        <w:jc w:val="both"/>
        <w:rPr>
          <w:rFonts w:ascii="Arial" w:hAnsi="Arial" w:cs="Arial"/>
          <w:sz w:val="22"/>
          <w:szCs w:val="22"/>
        </w:rPr>
      </w:pPr>
    </w:p>
    <w:p w14:paraId="65382E77" w14:textId="77777777" w:rsidR="00B2015C" w:rsidRDefault="00B2015C" w:rsidP="00B2015C">
      <w:pPr>
        <w:pStyle w:val="Hangindent"/>
        <w:spacing w:after="0"/>
        <w:ind w:left="0" w:firstLine="0"/>
        <w:jc w:val="both"/>
        <w:rPr>
          <w:rFonts w:ascii="Arial" w:hAnsi="Arial" w:cs="Arial"/>
          <w:sz w:val="22"/>
          <w:szCs w:val="22"/>
        </w:rPr>
      </w:pPr>
    </w:p>
    <w:p w14:paraId="375B770E" w14:textId="77777777" w:rsidR="00B2015C" w:rsidRDefault="00B2015C" w:rsidP="00B2015C">
      <w:pPr>
        <w:pStyle w:val="ListParagraph"/>
        <w:numPr>
          <w:ilvl w:val="0"/>
          <w:numId w:val="1"/>
        </w:numPr>
        <w:ind w:left="284" w:hanging="284"/>
        <w:jc w:val="both"/>
        <w:rPr>
          <w:rFonts w:ascii="Arial" w:hAnsi="Arial" w:cs="Arial"/>
          <w:b/>
          <w:bCs/>
          <w:sz w:val="22"/>
          <w:szCs w:val="22"/>
        </w:rPr>
      </w:pPr>
      <w:r>
        <w:rPr>
          <w:rFonts w:ascii="Arial" w:hAnsi="Arial" w:cs="Arial"/>
          <w:b/>
          <w:bCs/>
          <w:sz w:val="22"/>
          <w:szCs w:val="22"/>
        </w:rPr>
        <w:t>Pre Judgment Interest – Rule 182.3</w:t>
      </w:r>
    </w:p>
    <w:p w14:paraId="4AF3162C" w14:textId="77777777" w:rsidR="00B2015C" w:rsidRDefault="00B2015C" w:rsidP="00B2015C">
      <w:pPr>
        <w:spacing w:after="0"/>
        <w:jc w:val="both"/>
        <w:rPr>
          <w:rFonts w:ascii="Arial" w:hAnsi="Arial" w:cs="Arial"/>
          <w:b/>
          <w:bCs/>
        </w:rPr>
      </w:pPr>
    </w:p>
    <w:p w14:paraId="6AA677C3" w14:textId="77777777" w:rsidR="00B2015C" w:rsidRDefault="00B2015C" w:rsidP="00B2015C">
      <w:pPr>
        <w:pStyle w:val="Hangindent"/>
        <w:numPr>
          <w:ilvl w:val="1"/>
          <w:numId w:val="18"/>
        </w:numPr>
        <w:ind w:left="567" w:hanging="567"/>
        <w:jc w:val="both"/>
        <w:rPr>
          <w:rFonts w:ascii="Arial" w:hAnsi="Arial" w:cs="Arial"/>
          <w:sz w:val="22"/>
          <w:szCs w:val="22"/>
        </w:rPr>
      </w:pPr>
      <w:r>
        <w:rPr>
          <w:rFonts w:ascii="Arial" w:hAnsi="Arial" w:cs="Arial"/>
          <w:sz w:val="22"/>
          <w:szCs w:val="22"/>
        </w:rPr>
        <w:t>The appropriate rate and period for the calculation of interest on pre-judgment monetary amounts is a matter for determination by the Court in each case.</w:t>
      </w:r>
    </w:p>
    <w:p w14:paraId="0F4D759E" w14:textId="77777777" w:rsidR="00B2015C" w:rsidRDefault="00B2015C" w:rsidP="00B2015C">
      <w:pPr>
        <w:pStyle w:val="Hangindent"/>
        <w:numPr>
          <w:ilvl w:val="1"/>
          <w:numId w:val="18"/>
        </w:numPr>
        <w:ind w:left="567" w:hanging="567"/>
        <w:jc w:val="both"/>
        <w:rPr>
          <w:rFonts w:ascii="Arial" w:hAnsi="Arial" w:cs="Arial"/>
          <w:sz w:val="22"/>
          <w:szCs w:val="22"/>
        </w:rPr>
      </w:pPr>
      <w:r>
        <w:rPr>
          <w:rFonts w:ascii="Arial" w:hAnsi="Arial" w:cs="Arial"/>
          <w:sz w:val="22"/>
          <w:szCs w:val="22"/>
        </w:rPr>
        <w:t>As a guide only, and subject to any contrary statute, the Court may calculate such interest—</w:t>
      </w:r>
    </w:p>
    <w:p w14:paraId="29A5F8F4" w14:textId="77777777" w:rsidR="00B2015C" w:rsidRDefault="00B2015C" w:rsidP="00B2015C">
      <w:pPr>
        <w:pStyle w:val="Doublehangingindent"/>
        <w:numPr>
          <w:ilvl w:val="0"/>
          <w:numId w:val="19"/>
        </w:numPr>
        <w:spacing w:after="0"/>
        <w:jc w:val="both"/>
        <w:rPr>
          <w:rFonts w:ascii="Arial" w:hAnsi="Arial" w:cs="Arial"/>
          <w:sz w:val="22"/>
          <w:szCs w:val="22"/>
        </w:rPr>
      </w:pPr>
      <w:r>
        <w:rPr>
          <w:rFonts w:ascii="Arial" w:hAnsi="Arial" w:cs="Arial"/>
          <w:sz w:val="22"/>
          <w:szCs w:val="22"/>
        </w:rPr>
        <w:t>at the rate of 5 per cent per annum in respect of a period from the commencement date onwards or if the Court thinks fit any earlier period; or</w:t>
      </w:r>
    </w:p>
    <w:p w14:paraId="5F4C7836" w14:textId="77777777" w:rsidR="00B2015C" w:rsidRDefault="00B2015C" w:rsidP="00B2015C">
      <w:pPr>
        <w:pStyle w:val="Doublehangingindent"/>
        <w:numPr>
          <w:ilvl w:val="0"/>
          <w:numId w:val="19"/>
        </w:numPr>
        <w:ind w:left="970" w:hanging="403"/>
        <w:jc w:val="both"/>
        <w:rPr>
          <w:rFonts w:ascii="Arial" w:hAnsi="Arial" w:cs="Arial"/>
          <w:sz w:val="22"/>
          <w:szCs w:val="22"/>
        </w:rPr>
      </w:pPr>
      <w:r>
        <w:rPr>
          <w:rFonts w:ascii="Arial" w:hAnsi="Arial" w:cs="Arial"/>
          <w:sz w:val="22"/>
          <w:szCs w:val="22"/>
        </w:rPr>
        <w:t>at another rate prescribed by the Chief Judicial Officer from time to time in respect of a period from not earlier than the first anniversary of the commencement date onwards.</w:t>
      </w:r>
    </w:p>
    <w:p w14:paraId="13ACAC13" w14:textId="77777777" w:rsidR="00B2015C" w:rsidRDefault="00B2015C" w:rsidP="00B2015C">
      <w:pPr>
        <w:pStyle w:val="Hangindent"/>
        <w:numPr>
          <w:ilvl w:val="1"/>
          <w:numId w:val="18"/>
        </w:numPr>
        <w:spacing w:after="0"/>
        <w:ind w:left="567" w:hanging="567"/>
        <w:jc w:val="both"/>
        <w:rPr>
          <w:rFonts w:ascii="Arial" w:hAnsi="Arial" w:cs="Arial"/>
          <w:sz w:val="22"/>
          <w:szCs w:val="22"/>
        </w:rPr>
      </w:pPr>
      <w:r>
        <w:rPr>
          <w:rFonts w:ascii="Arial" w:hAnsi="Arial" w:cs="Arial"/>
          <w:sz w:val="22"/>
          <w:szCs w:val="22"/>
        </w:rPr>
        <w:t>The Registrar will publish all prescribed adjustments to pre judgement interest on the CAA website.</w:t>
      </w:r>
    </w:p>
    <w:p w14:paraId="6252236D" w14:textId="77777777" w:rsidR="00B2015C" w:rsidRDefault="00B2015C" w:rsidP="00B2015C">
      <w:pPr>
        <w:pStyle w:val="Hangindent"/>
        <w:spacing w:after="0"/>
        <w:ind w:left="0" w:firstLine="0"/>
        <w:jc w:val="both"/>
        <w:rPr>
          <w:rFonts w:ascii="Arial" w:hAnsi="Arial" w:cs="Arial"/>
          <w:sz w:val="22"/>
          <w:szCs w:val="22"/>
        </w:rPr>
      </w:pPr>
    </w:p>
    <w:p w14:paraId="0425F43A" w14:textId="77777777" w:rsidR="00B2015C" w:rsidRDefault="00B2015C" w:rsidP="00B2015C">
      <w:pPr>
        <w:pStyle w:val="Hangindent"/>
        <w:spacing w:after="0"/>
        <w:ind w:left="0" w:firstLine="0"/>
        <w:jc w:val="both"/>
        <w:rPr>
          <w:rFonts w:ascii="Arial" w:hAnsi="Arial" w:cs="Arial"/>
          <w:sz w:val="22"/>
          <w:szCs w:val="22"/>
        </w:rPr>
      </w:pPr>
    </w:p>
    <w:p w14:paraId="3F171090" w14:textId="77777777" w:rsidR="00B2015C" w:rsidRDefault="00B2015C" w:rsidP="00B2015C">
      <w:pPr>
        <w:pStyle w:val="ListParagraph"/>
        <w:numPr>
          <w:ilvl w:val="0"/>
          <w:numId w:val="1"/>
        </w:numPr>
        <w:ind w:left="284" w:hanging="284"/>
        <w:jc w:val="both"/>
        <w:rPr>
          <w:rFonts w:ascii="Arial" w:hAnsi="Arial" w:cs="Arial"/>
          <w:b/>
          <w:bCs/>
          <w:sz w:val="22"/>
          <w:szCs w:val="22"/>
        </w:rPr>
      </w:pPr>
      <w:r>
        <w:rPr>
          <w:rFonts w:ascii="Arial" w:hAnsi="Arial" w:cs="Arial"/>
          <w:b/>
          <w:bCs/>
          <w:sz w:val="22"/>
          <w:szCs w:val="22"/>
        </w:rPr>
        <w:t>Post Judgment Interest – Rule 185.1</w:t>
      </w:r>
    </w:p>
    <w:p w14:paraId="72E346B1" w14:textId="77777777" w:rsidR="00B2015C" w:rsidRDefault="00B2015C" w:rsidP="00B2015C">
      <w:pPr>
        <w:pStyle w:val="Hangindent"/>
        <w:spacing w:after="0"/>
        <w:ind w:left="0" w:firstLine="0"/>
        <w:jc w:val="both"/>
        <w:rPr>
          <w:rFonts w:ascii="Arial" w:hAnsi="Arial" w:cs="Arial"/>
          <w:sz w:val="22"/>
          <w:szCs w:val="22"/>
        </w:rPr>
      </w:pPr>
    </w:p>
    <w:p w14:paraId="141BE11A" w14:textId="77777777" w:rsidR="00B2015C" w:rsidRDefault="00B2015C" w:rsidP="00B2015C">
      <w:pPr>
        <w:pStyle w:val="Hangindent"/>
        <w:numPr>
          <w:ilvl w:val="0"/>
          <w:numId w:val="20"/>
        </w:numPr>
        <w:ind w:left="567" w:hanging="567"/>
        <w:jc w:val="both"/>
        <w:rPr>
          <w:rFonts w:ascii="Arial" w:hAnsi="Arial" w:cs="Arial"/>
          <w:sz w:val="22"/>
          <w:szCs w:val="22"/>
        </w:rPr>
      </w:pPr>
      <w:r>
        <w:rPr>
          <w:rFonts w:ascii="Arial" w:hAnsi="Arial" w:cs="Arial"/>
          <w:sz w:val="22"/>
          <w:szCs w:val="22"/>
        </w:rPr>
        <w:t>Subject to clause (2), interest on a judgment accrues on and after the commencement date of the Uniform Civil Rules 2020 at the rate of 6 per cent per annum.</w:t>
      </w:r>
    </w:p>
    <w:p w14:paraId="0C974C09" w14:textId="77777777" w:rsidR="00B2015C" w:rsidRDefault="00B2015C" w:rsidP="00B2015C">
      <w:pPr>
        <w:pStyle w:val="Hangindent"/>
        <w:numPr>
          <w:ilvl w:val="0"/>
          <w:numId w:val="20"/>
        </w:numPr>
        <w:ind w:left="567" w:hanging="567"/>
        <w:jc w:val="both"/>
        <w:rPr>
          <w:rFonts w:ascii="Arial" w:hAnsi="Arial" w:cs="Arial"/>
          <w:sz w:val="22"/>
          <w:szCs w:val="22"/>
        </w:rPr>
      </w:pPr>
      <w:bookmarkStart w:id="10" w:name="_Hlk26432502"/>
      <w:r>
        <w:rPr>
          <w:rFonts w:ascii="Arial" w:hAnsi="Arial" w:cs="Arial"/>
          <w:sz w:val="22"/>
          <w:szCs w:val="22"/>
        </w:rPr>
        <w:t xml:space="preserve">The Chief Judicial Officer may from time to time prescribe another rate of interest in respect of a period from not earlier than the first anniversary of the commencement date onwards. </w:t>
      </w:r>
    </w:p>
    <w:bookmarkEnd w:id="10"/>
    <w:p w14:paraId="234CA17B" w14:textId="77777777" w:rsidR="00B2015C" w:rsidRDefault="00B2015C" w:rsidP="00B2015C">
      <w:pPr>
        <w:pStyle w:val="Hangindent"/>
        <w:numPr>
          <w:ilvl w:val="0"/>
          <w:numId w:val="20"/>
        </w:numPr>
        <w:ind w:left="567" w:hanging="567"/>
        <w:jc w:val="both"/>
        <w:rPr>
          <w:rFonts w:ascii="Arial" w:hAnsi="Arial" w:cs="Arial"/>
          <w:sz w:val="22"/>
          <w:szCs w:val="22"/>
        </w:rPr>
      </w:pPr>
      <w:r>
        <w:rPr>
          <w:rFonts w:ascii="Arial" w:hAnsi="Arial" w:cs="Arial"/>
          <w:sz w:val="22"/>
          <w:szCs w:val="22"/>
        </w:rPr>
        <w:t>A payment made by a judgment debtor must be credited first against the judgment debt as defined in rule 201.1 excluding interest and, after that has been discharged, to any sum that has accrued on account of interest.</w:t>
      </w:r>
    </w:p>
    <w:p w14:paraId="4DDBA59A" w14:textId="77777777" w:rsidR="00B2015C" w:rsidRDefault="00B2015C" w:rsidP="00B2015C">
      <w:pPr>
        <w:pStyle w:val="Hangindent"/>
        <w:numPr>
          <w:ilvl w:val="0"/>
          <w:numId w:val="20"/>
        </w:numPr>
        <w:spacing w:after="0"/>
        <w:ind w:left="567" w:hanging="567"/>
        <w:jc w:val="both"/>
        <w:rPr>
          <w:rFonts w:ascii="Arial" w:hAnsi="Arial" w:cs="Arial"/>
          <w:sz w:val="22"/>
          <w:szCs w:val="22"/>
        </w:rPr>
      </w:pPr>
      <w:r>
        <w:rPr>
          <w:rFonts w:ascii="Arial" w:hAnsi="Arial" w:cs="Arial"/>
          <w:sz w:val="22"/>
          <w:szCs w:val="22"/>
        </w:rPr>
        <w:t>The Registrar will publish all prescribed adjustments to post judgement interest on the CAA website.</w:t>
      </w:r>
    </w:p>
    <w:p w14:paraId="7E6CEE71" w14:textId="77777777" w:rsidR="00B2015C" w:rsidRDefault="00B2015C" w:rsidP="00B2015C">
      <w:pPr>
        <w:pStyle w:val="Hangindent"/>
        <w:spacing w:after="0"/>
        <w:ind w:left="0" w:firstLine="0"/>
        <w:jc w:val="both"/>
        <w:rPr>
          <w:rFonts w:ascii="Arial" w:hAnsi="Arial" w:cs="Arial"/>
          <w:sz w:val="22"/>
          <w:szCs w:val="22"/>
        </w:rPr>
      </w:pPr>
    </w:p>
    <w:p w14:paraId="34045BAA" w14:textId="77777777" w:rsidR="003637A7" w:rsidRDefault="003637A7"/>
    <w:sectPr w:rsidR="003637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BC85" w14:textId="77777777" w:rsidR="004E3278" w:rsidRDefault="004E3278" w:rsidP="00B700C5">
      <w:pPr>
        <w:spacing w:after="0" w:line="240" w:lineRule="auto"/>
      </w:pPr>
      <w:r>
        <w:separator/>
      </w:r>
    </w:p>
  </w:endnote>
  <w:endnote w:type="continuationSeparator" w:id="0">
    <w:p w14:paraId="72FEFB42" w14:textId="77777777" w:rsidR="004E3278" w:rsidRDefault="004E3278" w:rsidP="00B7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0B53" w14:textId="054183A9" w:rsidR="00B700C5" w:rsidRDefault="00B700C5">
    <w:pPr>
      <w:pStyle w:val="Footer"/>
    </w:pPr>
    <w:r>
      <w:rPr>
        <w:noProof/>
      </w:rPr>
      <mc:AlternateContent>
        <mc:Choice Requires="wps">
          <w:drawing>
            <wp:anchor distT="0" distB="0" distL="0" distR="0" simplePos="0" relativeHeight="251662336" behindDoc="0" locked="0" layoutInCell="1" allowOverlap="1" wp14:anchorId="3D64A48A" wp14:editId="414B13BD">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F6B00" w14:textId="1C48CA99" w:rsidR="00B700C5" w:rsidRPr="00B700C5" w:rsidRDefault="00B700C5" w:rsidP="00B700C5">
                          <w:pPr>
                            <w:spacing w:after="0"/>
                            <w:rPr>
                              <w:rFonts w:ascii="Arial" w:eastAsia="Arial" w:hAnsi="Arial" w:cs="Arial"/>
                              <w:noProof/>
                              <w:color w:val="A80000"/>
                              <w:sz w:val="24"/>
                              <w:szCs w:val="24"/>
                            </w:rPr>
                          </w:pPr>
                          <w:r w:rsidRPr="00B700C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64A48A"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CF6B00" w14:textId="1C48CA99" w:rsidR="00B700C5" w:rsidRPr="00B700C5" w:rsidRDefault="00B700C5" w:rsidP="00B700C5">
                    <w:pPr>
                      <w:spacing w:after="0"/>
                      <w:rPr>
                        <w:rFonts w:ascii="Arial" w:eastAsia="Arial" w:hAnsi="Arial" w:cs="Arial"/>
                        <w:noProof/>
                        <w:color w:val="A80000"/>
                        <w:sz w:val="24"/>
                        <w:szCs w:val="24"/>
                      </w:rPr>
                    </w:pPr>
                    <w:r w:rsidRPr="00B700C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D0D1" w14:textId="741D0117" w:rsidR="00B700C5" w:rsidRDefault="00B700C5">
    <w:pPr>
      <w:pStyle w:val="Footer"/>
    </w:pPr>
    <w:r>
      <w:rPr>
        <w:noProof/>
      </w:rPr>
      <mc:AlternateContent>
        <mc:Choice Requires="wps">
          <w:drawing>
            <wp:anchor distT="0" distB="0" distL="0" distR="0" simplePos="0" relativeHeight="251663360" behindDoc="0" locked="0" layoutInCell="1" allowOverlap="1" wp14:anchorId="17BFCD50" wp14:editId="2D26777C">
              <wp:simplePos x="914400" y="1006792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460533" w14:textId="4C394FF1" w:rsidR="00B700C5" w:rsidRPr="00B700C5" w:rsidRDefault="00B700C5" w:rsidP="00B700C5">
                          <w:pPr>
                            <w:spacing w:after="0"/>
                            <w:rPr>
                              <w:rFonts w:ascii="Arial" w:eastAsia="Arial" w:hAnsi="Arial" w:cs="Arial"/>
                              <w:noProof/>
                              <w:color w:val="A80000"/>
                              <w:sz w:val="24"/>
                              <w:szCs w:val="24"/>
                            </w:rPr>
                          </w:pPr>
                          <w:r w:rsidRPr="00B700C5">
                            <w:rPr>
                              <w:rFonts w:ascii="Arial" w:eastAsia="Arial" w:hAnsi="Arial" w:cs="Arial"/>
                              <w:noProof/>
                              <w:color w:val="A80000"/>
                              <w:sz w:val="24"/>
                              <w:szCs w:val="24"/>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FCD50"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9460533" w14:textId="4C394FF1" w:rsidR="00B700C5" w:rsidRPr="00B700C5" w:rsidRDefault="00B700C5" w:rsidP="00B700C5">
                    <w:pPr>
                      <w:spacing w:after="0"/>
                      <w:rPr>
                        <w:rFonts w:ascii="Arial" w:eastAsia="Arial" w:hAnsi="Arial" w:cs="Arial"/>
                        <w:noProof/>
                        <w:color w:val="A80000"/>
                        <w:sz w:val="24"/>
                        <w:szCs w:val="24"/>
                      </w:rPr>
                    </w:pPr>
                    <w:r w:rsidRPr="00B700C5">
                      <w:rPr>
                        <w:rFonts w:ascii="Arial" w:eastAsia="Arial" w:hAnsi="Arial" w:cs="Arial"/>
                        <w:noProof/>
                        <w:color w:val="A80000"/>
                        <w:sz w:val="24"/>
                        <w:szCs w:val="24"/>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9DD8" w14:textId="2E886972" w:rsidR="00B700C5" w:rsidRDefault="00B700C5">
    <w:pPr>
      <w:pStyle w:val="Footer"/>
    </w:pPr>
    <w:r>
      <w:rPr>
        <w:noProof/>
      </w:rPr>
      <mc:AlternateContent>
        <mc:Choice Requires="wps">
          <w:drawing>
            <wp:anchor distT="0" distB="0" distL="0" distR="0" simplePos="0" relativeHeight="251661312" behindDoc="0" locked="0" layoutInCell="1" allowOverlap="1" wp14:anchorId="424211DB" wp14:editId="2533D93A">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36276" w14:textId="3AF4F2D4" w:rsidR="00B700C5" w:rsidRPr="00B700C5" w:rsidRDefault="00B700C5" w:rsidP="00B700C5">
                          <w:pPr>
                            <w:spacing w:after="0"/>
                            <w:rPr>
                              <w:rFonts w:ascii="Arial" w:eastAsia="Arial" w:hAnsi="Arial" w:cs="Arial"/>
                              <w:noProof/>
                              <w:color w:val="A80000"/>
                              <w:sz w:val="24"/>
                              <w:szCs w:val="24"/>
                            </w:rPr>
                          </w:pPr>
                          <w:r w:rsidRPr="00B700C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211DB"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536276" w14:textId="3AF4F2D4" w:rsidR="00B700C5" w:rsidRPr="00B700C5" w:rsidRDefault="00B700C5" w:rsidP="00B700C5">
                    <w:pPr>
                      <w:spacing w:after="0"/>
                      <w:rPr>
                        <w:rFonts w:ascii="Arial" w:eastAsia="Arial" w:hAnsi="Arial" w:cs="Arial"/>
                        <w:noProof/>
                        <w:color w:val="A80000"/>
                        <w:sz w:val="24"/>
                        <w:szCs w:val="24"/>
                      </w:rPr>
                    </w:pPr>
                    <w:r w:rsidRPr="00B700C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3524" w14:textId="77777777" w:rsidR="004E3278" w:rsidRDefault="004E3278" w:rsidP="00B700C5">
      <w:pPr>
        <w:spacing w:after="0" w:line="240" w:lineRule="auto"/>
      </w:pPr>
      <w:r>
        <w:separator/>
      </w:r>
    </w:p>
  </w:footnote>
  <w:footnote w:type="continuationSeparator" w:id="0">
    <w:p w14:paraId="0F3E6619" w14:textId="77777777" w:rsidR="004E3278" w:rsidRDefault="004E3278" w:rsidP="00B7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F098" w14:textId="75C1FF22" w:rsidR="00B700C5" w:rsidRDefault="00B700C5">
    <w:pPr>
      <w:pStyle w:val="Header"/>
    </w:pPr>
    <w:r>
      <w:rPr>
        <w:noProof/>
      </w:rPr>
      <mc:AlternateContent>
        <mc:Choice Requires="wps">
          <w:drawing>
            <wp:anchor distT="0" distB="0" distL="0" distR="0" simplePos="0" relativeHeight="251659264" behindDoc="0" locked="0" layoutInCell="1" allowOverlap="1" wp14:anchorId="2E65B1F7" wp14:editId="747F15FF">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89051" w14:textId="24B5579B" w:rsidR="00B700C5" w:rsidRPr="00B700C5" w:rsidRDefault="00B700C5" w:rsidP="00B700C5">
                          <w:pPr>
                            <w:spacing w:after="0"/>
                            <w:rPr>
                              <w:rFonts w:ascii="Arial" w:eastAsia="Arial" w:hAnsi="Arial" w:cs="Arial"/>
                              <w:noProof/>
                              <w:color w:val="A80000"/>
                              <w:sz w:val="24"/>
                              <w:szCs w:val="24"/>
                            </w:rPr>
                          </w:pPr>
                          <w:r w:rsidRPr="00B700C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65B1F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3A89051" w14:textId="24B5579B" w:rsidR="00B700C5" w:rsidRPr="00B700C5" w:rsidRDefault="00B700C5" w:rsidP="00B700C5">
                    <w:pPr>
                      <w:spacing w:after="0"/>
                      <w:rPr>
                        <w:rFonts w:ascii="Arial" w:eastAsia="Arial" w:hAnsi="Arial" w:cs="Arial"/>
                        <w:noProof/>
                        <w:color w:val="A80000"/>
                        <w:sz w:val="24"/>
                        <w:szCs w:val="24"/>
                      </w:rPr>
                    </w:pPr>
                    <w:r w:rsidRPr="00B700C5">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1D29" w14:textId="09AA2096" w:rsidR="00B700C5" w:rsidRDefault="00B700C5">
    <w:pPr>
      <w:pStyle w:val="Header"/>
    </w:pPr>
    <w:r>
      <w:rPr>
        <w:noProof/>
      </w:rPr>
      <mc:AlternateContent>
        <mc:Choice Requires="wps">
          <w:drawing>
            <wp:anchor distT="0" distB="0" distL="0" distR="0" simplePos="0" relativeHeight="251660288" behindDoc="0" locked="0" layoutInCell="1" allowOverlap="1" wp14:anchorId="5EB0D130" wp14:editId="2F8FE090">
              <wp:simplePos x="914400" y="447675"/>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47A2A" w14:textId="70C9E99B" w:rsidR="00B700C5" w:rsidRPr="00B700C5" w:rsidRDefault="00B700C5" w:rsidP="00B700C5">
                          <w:pPr>
                            <w:spacing w:after="0"/>
                            <w:rPr>
                              <w:rFonts w:ascii="Arial" w:eastAsia="Arial" w:hAnsi="Arial" w:cs="Arial"/>
                              <w:noProof/>
                              <w:color w:val="A8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B0D13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1C47A2A" w14:textId="70C9E99B" w:rsidR="00B700C5" w:rsidRPr="00B700C5" w:rsidRDefault="00B700C5" w:rsidP="00B700C5">
                    <w:pPr>
                      <w:spacing w:after="0"/>
                      <w:rPr>
                        <w:rFonts w:ascii="Arial" w:eastAsia="Arial" w:hAnsi="Arial" w:cs="Arial"/>
                        <w:noProof/>
                        <w:color w:val="A8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3C40" w14:textId="59B01C62" w:rsidR="00B700C5" w:rsidRDefault="00B700C5">
    <w:pPr>
      <w:pStyle w:val="Header"/>
    </w:pPr>
    <w:r>
      <w:rPr>
        <w:noProof/>
      </w:rPr>
      <mc:AlternateContent>
        <mc:Choice Requires="wps">
          <w:drawing>
            <wp:anchor distT="0" distB="0" distL="0" distR="0" simplePos="0" relativeHeight="251658240" behindDoc="0" locked="0" layoutInCell="1" allowOverlap="1" wp14:anchorId="543DCA58" wp14:editId="3EDEB123">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707762" w14:textId="72A09EE6" w:rsidR="00B700C5" w:rsidRPr="00B700C5" w:rsidRDefault="00B700C5" w:rsidP="00B700C5">
                          <w:pPr>
                            <w:spacing w:after="0"/>
                            <w:rPr>
                              <w:rFonts w:ascii="Arial" w:eastAsia="Arial" w:hAnsi="Arial" w:cs="Arial"/>
                              <w:noProof/>
                              <w:color w:val="A80000"/>
                              <w:sz w:val="24"/>
                              <w:szCs w:val="24"/>
                            </w:rPr>
                          </w:pPr>
                          <w:r w:rsidRPr="00B700C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3DCA58"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707762" w14:textId="72A09EE6" w:rsidR="00B700C5" w:rsidRPr="00B700C5" w:rsidRDefault="00B700C5" w:rsidP="00B700C5">
                    <w:pPr>
                      <w:spacing w:after="0"/>
                      <w:rPr>
                        <w:rFonts w:ascii="Arial" w:eastAsia="Arial" w:hAnsi="Arial" w:cs="Arial"/>
                        <w:noProof/>
                        <w:color w:val="A80000"/>
                        <w:sz w:val="24"/>
                        <w:szCs w:val="24"/>
                      </w:rPr>
                    </w:pPr>
                    <w:r w:rsidRPr="00B700C5">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E91"/>
    <w:multiLevelType w:val="hybridMultilevel"/>
    <w:tmpl w:val="2E7250CE"/>
    <w:lvl w:ilvl="0" w:tplc="11D2E852">
      <w:start w:val="1"/>
      <w:numFmt w:val="lowerLetter"/>
      <w:lvlText w:val="(%1)"/>
      <w:lvlJc w:val="left"/>
      <w:pPr>
        <w:ind w:left="967" w:hanging="40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 w15:restartNumberingAfterBreak="0">
    <w:nsid w:val="0D9A0814"/>
    <w:multiLevelType w:val="hybridMultilevel"/>
    <w:tmpl w:val="2E7250CE"/>
    <w:lvl w:ilvl="0" w:tplc="11D2E852">
      <w:start w:val="1"/>
      <w:numFmt w:val="lowerLetter"/>
      <w:lvlText w:val="(%1)"/>
      <w:lvlJc w:val="left"/>
      <w:pPr>
        <w:ind w:left="967" w:hanging="40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 w15:restartNumberingAfterBreak="0">
    <w:nsid w:val="0E5E4E37"/>
    <w:multiLevelType w:val="hybridMultilevel"/>
    <w:tmpl w:val="2E7250CE"/>
    <w:lvl w:ilvl="0" w:tplc="11D2E852">
      <w:start w:val="1"/>
      <w:numFmt w:val="lowerLetter"/>
      <w:lvlText w:val="(%1)"/>
      <w:lvlJc w:val="left"/>
      <w:pPr>
        <w:ind w:left="967" w:hanging="40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152023C3"/>
    <w:multiLevelType w:val="hybridMultilevel"/>
    <w:tmpl w:val="2E7250CE"/>
    <w:lvl w:ilvl="0" w:tplc="11D2E852">
      <w:start w:val="1"/>
      <w:numFmt w:val="lowerLetter"/>
      <w:lvlText w:val="(%1)"/>
      <w:lvlJc w:val="left"/>
      <w:pPr>
        <w:ind w:left="967" w:hanging="40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 w15:restartNumberingAfterBreak="0">
    <w:nsid w:val="16091AA4"/>
    <w:multiLevelType w:val="hybridMultilevel"/>
    <w:tmpl w:val="93046A56"/>
    <w:lvl w:ilvl="0" w:tplc="765E548C">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4E0CD7"/>
    <w:multiLevelType w:val="hybridMultilevel"/>
    <w:tmpl w:val="2E7250CE"/>
    <w:lvl w:ilvl="0" w:tplc="11D2E852">
      <w:start w:val="1"/>
      <w:numFmt w:val="lowerLetter"/>
      <w:lvlText w:val="(%1)"/>
      <w:lvlJc w:val="left"/>
      <w:pPr>
        <w:ind w:left="967" w:hanging="40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23EC4BAD"/>
    <w:multiLevelType w:val="hybridMultilevel"/>
    <w:tmpl w:val="168C7306"/>
    <w:lvl w:ilvl="0" w:tplc="765E548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6DD2680"/>
    <w:multiLevelType w:val="hybridMultilevel"/>
    <w:tmpl w:val="2F24FB56"/>
    <w:lvl w:ilvl="0" w:tplc="5B44A93E">
      <w:start w:val="1"/>
      <w:numFmt w:val="decimal"/>
      <w:lvlText w:val="(%1)"/>
      <w:lvlJc w:val="left"/>
      <w:pPr>
        <w:ind w:left="920" w:hanging="5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73A15F6"/>
    <w:multiLevelType w:val="hybridMultilevel"/>
    <w:tmpl w:val="2E7250CE"/>
    <w:lvl w:ilvl="0" w:tplc="11D2E852">
      <w:start w:val="1"/>
      <w:numFmt w:val="lowerLetter"/>
      <w:lvlText w:val="(%1)"/>
      <w:lvlJc w:val="left"/>
      <w:pPr>
        <w:ind w:left="967" w:hanging="40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9" w15:restartNumberingAfterBreak="0">
    <w:nsid w:val="2FDD6029"/>
    <w:multiLevelType w:val="hybridMultilevel"/>
    <w:tmpl w:val="2F24FB56"/>
    <w:lvl w:ilvl="0" w:tplc="5B44A93E">
      <w:start w:val="1"/>
      <w:numFmt w:val="decimal"/>
      <w:lvlText w:val="(%1)"/>
      <w:lvlJc w:val="left"/>
      <w:pPr>
        <w:ind w:left="560" w:hanging="5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2953569"/>
    <w:multiLevelType w:val="hybridMultilevel"/>
    <w:tmpl w:val="65A86C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4141C38"/>
    <w:multiLevelType w:val="hybridMultilevel"/>
    <w:tmpl w:val="2E7250CE"/>
    <w:lvl w:ilvl="0" w:tplc="11D2E852">
      <w:start w:val="1"/>
      <w:numFmt w:val="lowerLetter"/>
      <w:lvlText w:val="(%1)"/>
      <w:lvlJc w:val="left"/>
      <w:pPr>
        <w:ind w:left="967" w:hanging="40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34A434D0"/>
    <w:multiLevelType w:val="hybridMultilevel"/>
    <w:tmpl w:val="2E7250CE"/>
    <w:lvl w:ilvl="0" w:tplc="11D2E852">
      <w:start w:val="1"/>
      <w:numFmt w:val="lowerLetter"/>
      <w:lvlText w:val="(%1)"/>
      <w:lvlJc w:val="left"/>
      <w:pPr>
        <w:ind w:left="967" w:hanging="40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3" w15:restartNumberingAfterBreak="0">
    <w:nsid w:val="3AB60FF8"/>
    <w:multiLevelType w:val="hybridMultilevel"/>
    <w:tmpl w:val="2F24FB56"/>
    <w:lvl w:ilvl="0" w:tplc="5B44A93E">
      <w:start w:val="1"/>
      <w:numFmt w:val="decimal"/>
      <w:lvlText w:val="(%1)"/>
      <w:lvlJc w:val="left"/>
      <w:pPr>
        <w:ind w:left="560" w:hanging="5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0A542C7"/>
    <w:multiLevelType w:val="hybridMultilevel"/>
    <w:tmpl w:val="1F70740E"/>
    <w:lvl w:ilvl="0" w:tplc="765E548C">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9C54FBC"/>
    <w:multiLevelType w:val="hybridMultilevel"/>
    <w:tmpl w:val="5916277E"/>
    <w:lvl w:ilvl="0" w:tplc="0809000F">
      <w:start w:val="1"/>
      <w:numFmt w:val="decimal"/>
      <w:lvlText w:val="%1."/>
      <w:lvlJc w:val="left"/>
      <w:pPr>
        <w:ind w:left="360" w:hanging="360"/>
      </w:pPr>
    </w:lvl>
    <w:lvl w:ilvl="1" w:tplc="765E548C">
      <w:start w:val="1"/>
      <w:numFmt w:val="decimal"/>
      <w:lvlText w:val="(%2)"/>
      <w:lvlJc w:val="left"/>
      <w:pPr>
        <w:ind w:left="720" w:hanging="360"/>
      </w:pPr>
      <w:rPr>
        <w:rFonts w:cs="Times New Roman"/>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2403517"/>
    <w:multiLevelType w:val="hybridMultilevel"/>
    <w:tmpl w:val="2F24FB56"/>
    <w:lvl w:ilvl="0" w:tplc="5B44A93E">
      <w:start w:val="1"/>
      <w:numFmt w:val="decimal"/>
      <w:lvlText w:val="(%1)"/>
      <w:lvlJc w:val="left"/>
      <w:pPr>
        <w:ind w:left="560" w:hanging="5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6343ED5"/>
    <w:multiLevelType w:val="hybridMultilevel"/>
    <w:tmpl w:val="2E7250CE"/>
    <w:lvl w:ilvl="0" w:tplc="11D2E852">
      <w:start w:val="1"/>
      <w:numFmt w:val="lowerLetter"/>
      <w:lvlText w:val="(%1)"/>
      <w:lvlJc w:val="left"/>
      <w:pPr>
        <w:ind w:left="967" w:hanging="40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6B39447B"/>
    <w:multiLevelType w:val="hybridMultilevel"/>
    <w:tmpl w:val="5C78F2FE"/>
    <w:lvl w:ilvl="0" w:tplc="A06A7E80">
      <w:start w:val="1"/>
      <w:numFmt w:val="decimal"/>
      <w:lvlText w:val="(%1)"/>
      <w:lvlJc w:val="left"/>
      <w:pPr>
        <w:ind w:left="800" w:hanging="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243564C"/>
    <w:multiLevelType w:val="hybridMultilevel"/>
    <w:tmpl w:val="93046A56"/>
    <w:lvl w:ilvl="0" w:tplc="765E548C">
      <w:start w:val="1"/>
      <w:numFmt w:val="decimal"/>
      <w:lvlText w:val="(%1)"/>
      <w:lvlJc w:val="left"/>
      <w:pPr>
        <w:ind w:left="360" w:hanging="360"/>
      </w:pPr>
      <w:rPr>
        <w:rFonts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650250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6689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4737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7200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3025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4175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2007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521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5369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9742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2466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4140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7599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287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615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718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7490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3503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6719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8211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5C"/>
    <w:rsid w:val="0001274D"/>
    <w:rsid w:val="000227B2"/>
    <w:rsid w:val="0006561C"/>
    <w:rsid w:val="002E78F1"/>
    <w:rsid w:val="00300BC1"/>
    <w:rsid w:val="003637A7"/>
    <w:rsid w:val="003643EC"/>
    <w:rsid w:val="003C3D2F"/>
    <w:rsid w:val="00430F9B"/>
    <w:rsid w:val="00443536"/>
    <w:rsid w:val="004937D0"/>
    <w:rsid w:val="004B0B20"/>
    <w:rsid w:val="004E3278"/>
    <w:rsid w:val="00502077"/>
    <w:rsid w:val="0053766F"/>
    <w:rsid w:val="005671B8"/>
    <w:rsid w:val="005A556C"/>
    <w:rsid w:val="005C4742"/>
    <w:rsid w:val="00622751"/>
    <w:rsid w:val="006965D0"/>
    <w:rsid w:val="00720428"/>
    <w:rsid w:val="007623AE"/>
    <w:rsid w:val="007F32AB"/>
    <w:rsid w:val="007F6E94"/>
    <w:rsid w:val="00820D91"/>
    <w:rsid w:val="00901E7C"/>
    <w:rsid w:val="00913E9F"/>
    <w:rsid w:val="0099581F"/>
    <w:rsid w:val="009A0B1B"/>
    <w:rsid w:val="00A43061"/>
    <w:rsid w:val="00A77DCE"/>
    <w:rsid w:val="00AE5CEE"/>
    <w:rsid w:val="00B2015C"/>
    <w:rsid w:val="00B700C5"/>
    <w:rsid w:val="00C27904"/>
    <w:rsid w:val="00C656E5"/>
    <w:rsid w:val="00C703AE"/>
    <w:rsid w:val="00D62C9B"/>
    <w:rsid w:val="00DA4B5A"/>
    <w:rsid w:val="00DA5D89"/>
    <w:rsid w:val="00E87884"/>
    <w:rsid w:val="00E9004C"/>
    <w:rsid w:val="00F13B48"/>
    <w:rsid w:val="00F53F80"/>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5F7C7"/>
  <w15:chartTrackingRefBased/>
  <w15:docId w15:val="{BC886BC0-1AC2-4549-8CBA-0CB553D6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015C"/>
    <w:rPr>
      <w:color w:val="0563C1" w:themeColor="hyperlink"/>
      <w:u w:val="single"/>
    </w:rPr>
  </w:style>
  <w:style w:type="paragraph" w:styleId="ListParagraph">
    <w:name w:val="List Paragraph"/>
    <w:basedOn w:val="Normal"/>
    <w:uiPriority w:val="34"/>
    <w:qFormat/>
    <w:rsid w:val="00B2015C"/>
    <w:pPr>
      <w:spacing w:after="0" w:line="240" w:lineRule="auto"/>
      <w:ind w:left="720"/>
      <w:contextualSpacing/>
    </w:pPr>
    <w:rPr>
      <w:sz w:val="24"/>
      <w:szCs w:val="24"/>
    </w:rPr>
  </w:style>
  <w:style w:type="paragraph" w:customStyle="1" w:styleId="Hangindent">
    <w:name w:val="Hang indent"/>
    <w:basedOn w:val="Normal"/>
    <w:qFormat/>
    <w:rsid w:val="00B2015C"/>
    <w:pPr>
      <w:spacing w:after="120" w:line="240" w:lineRule="auto"/>
      <w:ind w:left="1418" w:hanging="567"/>
    </w:pPr>
    <w:rPr>
      <w:sz w:val="24"/>
      <w:szCs w:val="23"/>
    </w:rPr>
  </w:style>
  <w:style w:type="paragraph" w:customStyle="1" w:styleId="Doublehangingindent">
    <w:name w:val="Double hanging indent"/>
    <w:basedOn w:val="Hangindent"/>
    <w:qFormat/>
    <w:rsid w:val="00B2015C"/>
    <w:pPr>
      <w:ind w:left="1985"/>
    </w:pPr>
  </w:style>
  <w:style w:type="paragraph" w:customStyle="1" w:styleId="Doublehangindent">
    <w:name w:val="Double hang indent"/>
    <w:basedOn w:val="Hangindent"/>
    <w:qFormat/>
    <w:rsid w:val="00B2015C"/>
    <w:pPr>
      <w:spacing w:before="120"/>
      <w:ind w:left="1701"/>
      <w:jc w:val="both"/>
    </w:pPr>
    <w:rPr>
      <w:rFonts w:ascii="Times New Roman" w:hAnsi="Times New Roman"/>
      <w:sz w:val="23"/>
    </w:rPr>
  </w:style>
  <w:style w:type="paragraph" w:styleId="Header">
    <w:name w:val="header"/>
    <w:basedOn w:val="Normal"/>
    <w:link w:val="HeaderChar"/>
    <w:uiPriority w:val="99"/>
    <w:unhideWhenUsed/>
    <w:rsid w:val="00B70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0C5"/>
  </w:style>
  <w:style w:type="paragraph" w:styleId="Footer">
    <w:name w:val="footer"/>
    <w:basedOn w:val="Normal"/>
    <w:link w:val="FooterChar"/>
    <w:uiPriority w:val="99"/>
    <w:unhideWhenUsed/>
    <w:rsid w:val="00B70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39172">
      <w:bodyDiv w:val="1"/>
      <w:marLeft w:val="0"/>
      <w:marRight w:val="0"/>
      <w:marTop w:val="0"/>
      <w:marBottom w:val="0"/>
      <w:divBdr>
        <w:top w:val="none" w:sz="0" w:space="0" w:color="auto"/>
        <w:left w:val="none" w:sz="0" w:space="0" w:color="auto"/>
        <w:bottom w:val="none" w:sz="0" w:space="0" w:color="auto"/>
        <w:right w:val="none" w:sz="0" w:space="0" w:color="auto"/>
      </w:divBdr>
    </w:div>
    <w:div w:id="1168403057">
      <w:bodyDiv w:val="1"/>
      <w:marLeft w:val="0"/>
      <w:marRight w:val="0"/>
      <w:marTop w:val="0"/>
      <w:marBottom w:val="0"/>
      <w:divBdr>
        <w:top w:val="none" w:sz="0" w:space="0" w:color="auto"/>
        <w:left w:val="none" w:sz="0" w:space="0" w:color="auto"/>
        <w:bottom w:val="none" w:sz="0" w:space="0" w:color="auto"/>
        <w:right w:val="none" w:sz="0" w:space="0" w:color="auto"/>
      </w:divBdr>
    </w:div>
    <w:div w:id="13471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E16F7-2D4B-4536-9488-916D9B041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6BE7AC-8D46-408A-B564-5C1A0C72C7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6365D-1D63-4D09-8EE5-AF355F429774}">
  <ds:schemaRefs>
    <ds:schemaRef ds:uri="http://schemas.openxmlformats.org/officeDocument/2006/bibliography"/>
  </ds:schemaRefs>
</ds:datastoreItem>
</file>

<file path=customXml/itemProps4.xml><?xml version="1.0" encoding="utf-8"?>
<ds:datastoreItem xmlns:ds="http://schemas.openxmlformats.org/officeDocument/2006/customXml" ds:itemID="{85750603-1BD5-4AF4-B2A3-90B22F550BC5}">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Registrar and Principal Registrar information under the Uniform Civil Rules 2020</dc:title>
  <dc:subject/>
  <dc:creator>Courts Administration Authority</dc:creator>
  <cp:keywords/>
  <dc:description/>
  <cp:revision>2</cp:revision>
  <dcterms:created xsi:type="dcterms:W3CDTF">2024-01-03T00:32:00Z</dcterms:created>
  <dcterms:modified xsi:type="dcterms:W3CDTF">2024-01-03T00:32:00Z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